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73" w:rsidRDefault="000C0473" w:rsidP="000C0473">
      <w:pPr>
        <w:pStyle w:val="Default"/>
      </w:pPr>
    </w:p>
    <w:p w:rsidR="000C0473" w:rsidRDefault="00F01315" w:rsidP="00F01315">
      <w:pPr>
        <w:pStyle w:val="Default"/>
        <w:rPr>
          <w:sz w:val="20"/>
          <w:szCs w:val="20"/>
        </w:rPr>
      </w:pPr>
      <w:r>
        <w:rPr>
          <w:sz w:val="20"/>
          <w:szCs w:val="20"/>
        </w:rPr>
        <w:t>Division of Clinical Neuroscience, Stroke</w:t>
      </w:r>
    </w:p>
    <w:p w:rsidR="00F01315" w:rsidRDefault="00F01315" w:rsidP="00F01315">
      <w:pPr>
        <w:pStyle w:val="Default"/>
        <w:rPr>
          <w:sz w:val="20"/>
          <w:szCs w:val="20"/>
        </w:rPr>
      </w:pPr>
      <w:r>
        <w:rPr>
          <w:sz w:val="20"/>
          <w:szCs w:val="20"/>
        </w:rPr>
        <w:t>University of Nottingham</w:t>
      </w:r>
    </w:p>
    <w:p w:rsidR="00F01315" w:rsidRDefault="00F01315" w:rsidP="00F01315">
      <w:pPr>
        <w:pStyle w:val="Default"/>
        <w:rPr>
          <w:sz w:val="20"/>
          <w:szCs w:val="20"/>
        </w:rPr>
      </w:pPr>
      <w:r>
        <w:rPr>
          <w:sz w:val="20"/>
          <w:szCs w:val="20"/>
        </w:rPr>
        <w:t>Hucknall Road</w:t>
      </w:r>
    </w:p>
    <w:p w:rsidR="00F01315" w:rsidRDefault="00F01315" w:rsidP="00F01315">
      <w:pPr>
        <w:pStyle w:val="Default"/>
        <w:rPr>
          <w:sz w:val="20"/>
          <w:szCs w:val="20"/>
        </w:rPr>
      </w:pPr>
      <w:r>
        <w:rPr>
          <w:sz w:val="20"/>
          <w:szCs w:val="20"/>
        </w:rPr>
        <w:t>Nottingham</w:t>
      </w:r>
    </w:p>
    <w:p w:rsidR="00F01315" w:rsidRDefault="00F01315" w:rsidP="00F01315">
      <w:pPr>
        <w:pStyle w:val="Default"/>
        <w:rPr>
          <w:sz w:val="20"/>
          <w:szCs w:val="20"/>
        </w:rPr>
      </w:pPr>
      <w:r>
        <w:rPr>
          <w:sz w:val="20"/>
          <w:szCs w:val="20"/>
        </w:rPr>
        <w:t>NG5 1PB</w:t>
      </w:r>
    </w:p>
    <w:p w:rsidR="00F01315" w:rsidRDefault="00F01315" w:rsidP="00F01315">
      <w:pPr>
        <w:pStyle w:val="Default"/>
        <w:rPr>
          <w:sz w:val="20"/>
          <w:szCs w:val="20"/>
        </w:rPr>
      </w:pPr>
    </w:p>
    <w:p w:rsidR="000C0473" w:rsidRDefault="000C0473" w:rsidP="000C0473">
      <w:pPr>
        <w:pStyle w:val="Default"/>
        <w:jc w:val="center"/>
        <w:rPr>
          <w:b/>
          <w:sz w:val="22"/>
          <w:szCs w:val="22"/>
        </w:rPr>
      </w:pPr>
      <w:r w:rsidRPr="000C0473">
        <w:rPr>
          <w:b/>
          <w:sz w:val="22"/>
          <w:szCs w:val="22"/>
        </w:rPr>
        <w:t>Desmopressin for reversal of Antiplatelet drugs in Stroke due to Haemorrhage (DASH)</w:t>
      </w:r>
    </w:p>
    <w:p w:rsidR="000C0473" w:rsidRDefault="000C0473" w:rsidP="000C0473">
      <w:pPr>
        <w:pStyle w:val="Default"/>
        <w:jc w:val="center"/>
        <w:rPr>
          <w:sz w:val="20"/>
          <w:szCs w:val="20"/>
        </w:rPr>
      </w:pPr>
    </w:p>
    <w:p w:rsidR="000C0473" w:rsidRDefault="000C0473" w:rsidP="000C0473">
      <w:pPr>
        <w:pStyle w:val="Default"/>
        <w:rPr>
          <w:sz w:val="20"/>
          <w:szCs w:val="20"/>
        </w:rPr>
      </w:pPr>
      <w:r>
        <w:rPr>
          <w:sz w:val="20"/>
          <w:szCs w:val="20"/>
        </w:rPr>
        <w:t>EudraCT Number: 2018-001904-12</w:t>
      </w:r>
    </w:p>
    <w:p w:rsidR="000C0473" w:rsidRDefault="000C0473" w:rsidP="000C0473">
      <w:pPr>
        <w:pStyle w:val="Default"/>
        <w:rPr>
          <w:sz w:val="20"/>
          <w:szCs w:val="20"/>
        </w:rPr>
      </w:pPr>
      <w:r>
        <w:rPr>
          <w:sz w:val="20"/>
          <w:szCs w:val="20"/>
        </w:rPr>
        <w:t xml:space="preserve">IRAS ID:233744 </w:t>
      </w:r>
    </w:p>
    <w:p w:rsidR="000C0473" w:rsidRDefault="000C0473" w:rsidP="000C0473">
      <w:pPr>
        <w:pStyle w:val="Default"/>
        <w:rPr>
          <w:sz w:val="20"/>
          <w:szCs w:val="20"/>
        </w:rPr>
      </w:pPr>
      <w:r>
        <w:rPr>
          <w:sz w:val="20"/>
          <w:szCs w:val="20"/>
        </w:rPr>
        <w:t>Sponsor Ref:18040</w:t>
      </w:r>
    </w:p>
    <w:p w:rsidR="00F01315" w:rsidRDefault="00F01315" w:rsidP="000C0473">
      <w:pPr>
        <w:pStyle w:val="Default"/>
        <w:rPr>
          <w:sz w:val="20"/>
          <w:szCs w:val="20"/>
        </w:rPr>
      </w:pPr>
    </w:p>
    <w:p w:rsidR="000C0473" w:rsidRDefault="00F01315" w:rsidP="000C0473">
      <w:pPr>
        <w:pStyle w:val="Default"/>
        <w:rPr>
          <w:sz w:val="20"/>
          <w:szCs w:val="20"/>
        </w:rPr>
      </w:pPr>
      <w:r>
        <w:rPr>
          <w:sz w:val="20"/>
          <w:szCs w:val="20"/>
        </w:rPr>
        <w:t>Site Name:………………………………………… Principal Investigator:…………………………………….</w:t>
      </w:r>
    </w:p>
    <w:p w:rsidR="000C0473" w:rsidRDefault="000C0473" w:rsidP="000C0473">
      <w:pPr>
        <w:pStyle w:val="Default"/>
        <w:rPr>
          <w:sz w:val="20"/>
          <w:szCs w:val="20"/>
        </w:rPr>
      </w:pPr>
    </w:p>
    <w:p w:rsidR="000C0473" w:rsidRDefault="000C0473" w:rsidP="000C0473">
      <w:pPr>
        <w:pStyle w:val="Default"/>
        <w:rPr>
          <w:b/>
          <w:bCs/>
          <w:sz w:val="20"/>
          <w:szCs w:val="20"/>
        </w:rPr>
      </w:pPr>
    </w:p>
    <w:p w:rsidR="000C0473" w:rsidRDefault="000C0473" w:rsidP="000C0473">
      <w:pPr>
        <w:pStyle w:val="Default"/>
        <w:jc w:val="center"/>
        <w:rPr>
          <w:b/>
          <w:bCs/>
          <w:sz w:val="20"/>
          <w:szCs w:val="20"/>
          <w:u w:val="single"/>
        </w:rPr>
      </w:pPr>
      <w:r w:rsidRPr="000C0473">
        <w:rPr>
          <w:b/>
          <w:bCs/>
          <w:sz w:val="20"/>
          <w:szCs w:val="20"/>
          <w:u w:val="single"/>
        </w:rPr>
        <w:t>Lead Pharmacist Declaration</w:t>
      </w:r>
    </w:p>
    <w:p w:rsidR="000C0473" w:rsidRPr="000C0473" w:rsidRDefault="000C0473" w:rsidP="000C0473">
      <w:pPr>
        <w:pStyle w:val="Default"/>
        <w:jc w:val="center"/>
        <w:rPr>
          <w:b/>
          <w:bCs/>
          <w:sz w:val="20"/>
          <w:szCs w:val="20"/>
          <w:u w:val="single"/>
        </w:rPr>
      </w:pPr>
    </w:p>
    <w:p w:rsidR="00DB1DC3" w:rsidRDefault="000C0473" w:rsidP="000C0473">
      <w:pPr>
        <w:pStyle w:val="Default"/>
        <w:rPr>
          <w:sz w:val="20"/>
          <w:szCs w:val="20"/>
        </w:rPr>
      </w:pPr>
      <w:r>
        <w:rPr>
          <w:sz w:val="20"/>
          <w:szCs w:val="20"/>
        </w:rPr>
        <w:t>On behalf of the Principal Investigator, I agree to ensure processes are in place to conduct this Trial in accordance with current Good Clinical Practice guidelines, Good Manufacturing Guidelines, the Medicines for Human Use (Clinical Trials) Regulations 2006</w:t>
      </w:r>
      <w:r>
        <w:rPr>
          <w:sz w:val="13"/>
          <w:szCs w:val="13"/>
        </w:rPr>
        <w:t xml:space="preserve">*  </w:t>
      </w:r>
      <w:r>
        <w:rPr>
          <w:sz w:val="20"/>
          <w:szCs w:val="20"/>
        </w:rPr>
        <w:t xml:space="preserve">standards and the Clinical Trial Authorisation through adherence to procedures outlined in the current version of the Protocol and Pharmacy </w:t>
      </w:r>
      <w:r w:rsidR="00DB1DC3">
        <w:rPr>
          <w:sz w:val="20"/>
          <w:szCs w:val="20"/>
        </w:rPr>
        <w:t>Manual</w:t>
      </w:r>
      <w:r>
        <w:rPr>
          <w:sz w:val="20"/>
          <w:szCs w:val="20"/>
        </w:rPr>
        <w:t xml:space="preserve">. </w:t>
      </w:r>
    </w:p>
    <w:p w:rsidR="000C0473" w:rsidRDefault="000C0473" w:rsidP="000C0473">
      <w:pPr>
        <w:pStyle w:val="Default"/>
        <w:rPr>
          <w:sz w:val="20"/>
          <w:szCs w:val="20"/>
        </w:rPr>
      </w:pPr>
      <w:r>
        <w:rPr>
          <w:sz w:val="20"/>
          <w:szCs w:val="20"/>
        </w:rPr>
        <w:t xml:space="preserve">Specifically, I agree to ensure the following: </w:t>
      </w:r>
    </w:p>
    <w:p w:rsidR="00DB1DC3" w:rsidRDefault="00DB1DC3" w:rsidP="000C0473">
      <w:pPr>
        <w:pStyle w:val="Default"/>
        <w:rPr>
          <w:sz w:val="20"/>
          <w:szCs w:val="20"/>
        </w:rPr>
      </w:pPr>
    </w:p>
    <w:p w:rsidR="000C0473" w:rsidRDefault="000C0473" w:rsidP="000C0473">
      <w:pPr>
        <w:pStyle w:val="Default"/>
        <w:numPr>
          <w:ilvl w:val="0"/>
          <w:numId w:val="1"/>
        </w:numPr>
        <w:spacing w:after="27"/>
        <w:rPr>
          <w:sz w:val="20"/>
          <w:szCs w:val="20"/>
        </w:rPr>
      </w:pPr>
      <w:r>
        <w:rPr>
          <w:sz w:val="20"/>
          <w:szCs w:val="20"/>
        </w:rPr>
        <w:t xml:space="preserve">All IMPs are stored and handled according to the Manufacturer’s recommendations as detailed in the current SmPC. </w:t>
      </w:r>
    </w:p>
    <w:p w:rsidR="00DB1DC3" w:rsidRDefault="000C0473" w:rsidP="000C0473">
      <w:pPr>
        <w:pStyle w:val="Default"/>
        <w:numPr>
          <w:ilvl w:val="0"/>
          <w:numId w:val="1"/>
        </w:numPr>
        <w:spacing w:after="27"/>
        <w:rPr>
          <w:sz w:val="20"/>
          <w:szCs w:val="20"/>
        </w:rPr>
      </w:pPr>
      <w:r>
        <w:rPr>
          <w:sz w:val="20"/>
          <w:szCs w:val="20"/>
        </w:rPr>
        <w:t xml:space="preserve">All temperature excursions are handled in accordance with the Pharmacy Manual. </w:t>
      </w:r>
    </w:p>
    <w:p w:rsidR="000C0473" w:rsidRDefault="000C0473" w:rsidP="000C0473">
      <w:pPr>
        <w:pStyle w:val="Default"/>
        <w:numPr>
          <w:ilvl w:val="0"/>
          <w:numId w:val="1"/>
        </w:numPr>
        <w:spacing w:after="27"/>
        <w:rPr>
          <w:sz w:val="20"/>
          <w:szCs w:val="20"/>
        </w:rPr>
      </w:pPr>
      <w:r>
        <w:rPr>
          <w:sz w:val="20"/>
          <w:szCs w:val="20"/>
        </w:rPr>
        <w:t xml:space="preserve">All IMPs are fully traceable throughout their use in the </w:t>
      </w:r>
      <w:r w:rsidR="00DB1DC3">
        <w:rPr>
          <w:sz w:val="20"/>
          <w:szCs w:val="20"/>
        </w:rPr>
        <w:t>t</w:t>
      </w:r>
      <w:r>
        <w:rPr>
          <w:sz w:val="20"/>
          <w:szCs w:val="20"/>
        </w:rPr>
        <w:t xml:space="preserve">rial and records are maintained to allow reconstruction of the movement of each IMP throughout the </w:t>
      </w:r>
      <w:r w:rsidR="00DB1DC3">
        <w:rPr>
          <w:sz w:val="20"/>
          <w:szCs w:val="20"/>
        </w:rPr>
        <w:t>t</w:t>
      </w:r>
      <w:r>
        <w:rPr>
          <w:sz w:val="20"/>
          <w:szCs w:val="20"/>
        </w:rPr>
        <w:t xml:space="preserve">rial, including recording of batch number. </w:t>
      </w:r>
    </w:p>
    <w:p w:rsidR="000C0473" w:rsidRDefault="000C0473" w:rsidP="000C0473">
      <w:pPr>
        <w:pStyle w:val="Default"/>
        <w:numPr>
          <w:ilvl w:val="0"/>
          <w:numId w:val="1"/>
        </w:numPr>
        <w:spacing w:after="27"/>
        <w:rPr>
          <w:sz w:val="20"/>
          <w:szCs w:val="20"/>
        </w:rPr>
      </w:pPr>
      <w:r>
        <w:rPr>
          <w:sz w:val="20"/>
          <w:szCs w:val="20"/>
        </w:rPr>
        <w:t xml:space="preserve">Any deviations from the Manufacturers recommendations or Pharmacy Manual are notified to STU. </w:t>
      </w:r>
    </w:p>
    <w:p w:rsidR="000C0473" w:rsidRDefault="000C0473" w:rsidP="000C0473">
      <w:pPr>
        <w:pStyle w:val="Default"/>
        <w:numPr>
          <w:ilvl w:val="0"/>
          <w:numId w:val="1"/>
        </w:numPr>
        <w:spacing w:after="27"/>
        <w:rPr>
          <w:sz w:val="20"/>
          <w:szCs w:val="20"/>
        </w:rPr>
      </w:pPr>
      <w:r>
        <w:rPr>
          <w:sz w:val="20"/>
          <w:szCs w:val="20"/>
        </w:rPr>
        <w:t xml:space="preserve">All IMPs are labelled in accordance with the Clinical Trial Authorisation (CTA) </w:t>
      </w:r>
    </w:p>
    <w:p w:rsidR="000C0473" w:rsidRDefault="000C0473" w:rsidP="000C0473">
      <w:pPr>
        <w:pStyle w:val="Default"/>
        <w:numPr>
          <w:ilvl w:val="0"/>
          <w:numId w:val="1"/>
        </w:numPr>
        <w:spacing w:after="27"/>
        <w:rPr>
          <w:sz w:val="20"/>
          <w:szCs w:val="20"/>
        </w:rPr>
      </w:pPr>
      <w:r>
        <w:rPr>
          <w:sz w:val="20"/>
          <w:szCs w:val="20"/>
        </w:rPr>
        <w:t xml:space="preserve">Trial specific accountability logs are maintained for any Desmopressin/Sodium Chloride 0.9% supplied specifically for use in the </w:t>
      </w:r>
      <w:r w:rsidR="00DB1DC3">
        <w:rPr>
          <w:sz w:val="20"/>
          <w:szCs w:val="20"/>
        </w:rPr>
        <w:t>t</w:t>
      </w:r>
      <w:r>
        <w:rPr>
          <w:sz w:val="20"/>
          <w:szCs w:val="20"/>
        </w:rPr>
        <w:t xml:space="preserve">rial. </w:t>
      </w:r>
    </w:p>
    <w:p w:rsidR="000C0473" w:rsidRDefault="000C0473" w:rsidP="000C0473">
      <w:pPr>
        <w:pStyle w:val="Default"/>
        <w:numPr>
          <w:ilvl w:val="0"/>
          <w:numId w:val="1"/>
        </w:numPr>
        <w:spacing w:after="27"/>
        <w:rPr>
          <w:sz w:val="20"/>
          <w:szCs w:val="20"/>
        </w:rPr>
      </w:pPr>
      <w:r>
        <w:rPr>
          <w:sz w:val="20"/>
          <w:szCs w:val="20"/>
        </w:rPr>
        <w:t xml:space="preserve">Any Desmopressin/Sodium Chloride 0.9% supplied specifically for the </w:t>
      </w:r>
      <w:r w:rsidR="00DB1DC3">
        <w:rPr>
          <w:sz w:val="20"/>
          <w:szCs w:val="20"/>
        </w:rPr>
        <w:t>t</w:t>
      </w:r>
      <w:r>
        <w:rPr>
          <w:sz w:val="20"/>
          <w:szCs w:val="20"/>
        </w:rPr>
        <w:t xml:space="preserve">rial is only used for patients registered into the </w:t>
      </w:r>
      <w:r w:rsidR="00DB1DC3">
        <w:rPr>
          <w:sz w:val="20"/>
          <w:szCs w:val="20"/>
        </w:rPr>
        <w:t>t</w:t>
      </w:r>
      <w:r>
        <w:rPr>
          <w:sz w:val="20"/>
          <w:szCs w:val="20"/>
        </w:rPr>
        <w:t xml:space="preserve">rial, and will not enter generic hospital supplies. </w:t>
      </w:r>
    </w:p>
    <w:p w:rsidR="000C0473" w:rsidRDefault="000C0473" w:rsidP="000C0473">
      <w:pPr>
        <w:pStyle w:val="Default"/>
        <w:numPr>
          <w:ilvl w:val="0"/>
          <w:numId w:val="1"/>
        </w:numPr>
        <w:spacing w:after="27"/>
        <w:rPr>
          <w:sz w:val="20"/>
          <w:szCs w:val="20"/>
        </w:rPr>
      </w:pPr>
      <w:r>
        <w:rPr>
          <w:sz w:val="20"/>
          <w:szCs w:val="20"/>
        </w:rPr>
        <w:t xml:space="preserve">All </w:t>
      </w:r>
      <w:r w:rsidR="00DB1DC3">
        <w:rPr>
          <w:sz w:val="20"/>
          <w:szCs w:val="20"/>
        </w:rPr>
        <w:t>t</w:t>
      </w:r>
      <w:r>
        <w:rPr>
          <w:sz w:val="20"/>
          <w:szCs w:val="20"/>
        </w:rPr>
        <w:t xml:space="preserve">rial documentation and correspondence is stored in a central Pharmacy Site File. </w:t>
      </w:r>
    </w:p>
    <w:p w:rsidR="000C0473" w:rsidRDefault="000C0473" w:rsidP="000C0473">
      <w:pPr>
        <w:pStyle w:val="Default"/>
        <w:numPr>
          <w:ilvl w:val="0"/>
          <w:numId w:val="1"/>
        </w:numPr>
        <w:rPr>
          <w:sz w:val="20"/>
          <w:szCs w:val="20"/>
        </w:rPr>
      </w:pPr>
      <w:r>
        <w:rPr>
          <w:sz w:val="20"/>
          <w:szCs w:val="20"/>
        </w:rPr>
        <w:t xml:space="preserve">Any additional local </w:t>
      </w:r>
      <w:r w:rsidR="00DB1DC3">
        <w:rPr>
          <w:sz w:val="20"/>
          <w:szCs w:val="20"/>
        </w:rPr>
        <w:t>t</w:t>
      </w:r>
      <w:r>
        <w:rPr>
          <w:sz w:val="20"/>
          <w:szCs w:val="20"/>
        </w:rPr>
        <w:t xml:space="preserve">rial documentation will be accurately transcribed from the equivalent document provided by the STU. </w:t>
      </w:r>
    </w:p>
    <w:p w:rsidR="000C0473" w:rsidRDefault="000C0473" w:rsidP="00F01315">
      <w:pPr>
        <w:pStyle w:val="Default"/>
        <w:ind w:left="720"/>
        <w:rPr>
          <w:sz w:val="20"/>
          <w:szCs w:val="20"/>
        </w:rPr>
      </w:pPr>
    </w:p>
    <w:p w:rsidR="000C0473" w:rsidRDefault="000C0473" w:rsidP="000C0473">
      <w:pPr>
        <w:pStyle w:val="Default"/>
        <w:rPr>
          <w:sz w:val="20"/>
          <w:szCs w:val="20"/>
        </w:rPr>
      </w:pPr>
      <w:r>
        <w:rPr>
          <w:sz w:val="10"/>
          <w:szCs w:val="10"/>
        </w:rPr>
        <w:t xml:space="preserve">* These amend the principal Regulations (Medicines for Human Use (Clinical Trials) Regulations 2004 which implemented Directive 2001/20/EC on the approximation of the laws, regulations and administrative provisions of the Member States relating to the implementation of good clinical practice in the conduct of clinical trials on medicinal products in human use </w:t>
      </w:r>
    </w:p>
    <w:p w:rsidR="000C0473" w:rsidRDefault="000C0473" w:rsidP="000C0473">
      <w:pPr>
        <w:pStyle w:val="Default"/>
        <w:rPr>
          <w:sz w:val="20"/>
          <w:szCs w:val="20"/>
        </w:rPr>
      </w:pPr>
    </w:p>
    <w:p w:rsidR="000C0473" w:rsidRDefault="000C0473" w:rsidP="000C0473">
      <w:pPr>
        <w:pStyle w:val="Default"/>
        <w:rPr>
          <w:sz w:val="20"/>
          <w:szCs w:val="20"/>
        </w:rPr>
      </w:pPr>
      <w:r w:rsidRPr="000C0473">
        <w:rPr>
          <w:sz w:val="20"/>
          <w:szCs w:val="20"/>
        </w:rPr>
        <w:t>Lead Pharmacist Name</w:t>
      </w:r>
      <w:r>
        <w:rPr>
          <w:sz w:val="20"/>
          <w:szCs w:val="20"/>
        </w:rPr>
        <w:t>:</w:t>
      </w:r>
      <w:r w:rsidRPr="000C0473">
        <w:rPr>
          <w:sz w:val="20"/>
          <w:szCs w:val="20"/>
        </w:rPr>
        <w:t xml:space="preserve"> </w:t>
      </w:r>
      <w:r>
        <w:rPr>
          <w:sz w:val="20"/>
          <w:szCs w:val="20"/>
        </w:rPr>
        <w:t>………………………………………………</w:t>
      </w:r>
    </w:p>
    <w:p w:rsidR="000C0473" w:rsidRPr="000C0473" w:rsidRDefault="000C0473" w:rsidP="000C0473">
      <w:pPr>
        <w:pStyle w:val="Default"/>
        <w:rPr>
          <w:sz w:val="20"/>
          <w:szCs w:val="20"/>
        </w:rPr>
      </w:pPr>
    </w:p>
    <w:p w:rsidR="000C0473" w:rsidRDefault="000C0473" w:rsidP="000C0473">
      <w:pPr>
        <w:pStyle w:val="Default"/>
        <w:rPr>
          <w:sz w:val="20"/>
          <w:szCs w:val="20"/>
        </w:rPr>
      </w:pPr>
      <w:r w:rsidRPr="000C0473">
        <w:rPr>
          <w:sz w:val="20"/>
          <w:szCs w:val="20"/>
        </w:rPr>
        <w:t xml:space="preserve">Lead Pharmacist Signature </w:t>
      </w:r>
      <w:r>
        <w:rPr>
          <w:sz w:val="20"/>
          <w:szCs w:val="20"/>
        </w:rPr>
        <w:t>:………………………………………….</w:t>
      </w:r>
    </w:p>
    <w:p w:rsidR="000C0473" w:rsidRPr="000C0473" w:rsidRDefault="000C0473" w:rsidP="000C0473">
      <w:pPr>
        <w:pStyle w:val="Default"/>
        <w:rPr>
          <w:sz w:val="20"/>
          <w:szCs w:val="20"/>
        </w:rPr>
      </w:pPr>
    </w:p>
    <w:p w:rsidR="00F01315" w:rsidRDefault="000C0473" w:rsidP="000C0473">
      <w:pPr>
        <w:rPr>
          <w:rFonts w:ascii="Arial" w:hAnsi="Arial" w:cs="Arial"/>
          <w:sz w:val="20"/>
          <w:szCs w:val="20"/>
        </w:rPr>
      </w:pPr>
      <w:r w:rsidRPr="000C0473">
        <w:rPr>
          <w:rFonts w:ascii="Arial" w:hAnsi="Arial" w:cs="Arial"/>
          <w:sz w:val="20"/>
          <w:szCs w:val="20"/>
        </w:rPr>
        <w:t>Date</w:t>
      </w:r>
      <w:r>
        <w:rPr>
          <w:rFonts w:ascii="Arial" w:hAnsi="Arial" w:cs="Arial"/>
          <w:sz w:val="20"/>
          <w:szCs w:val="20"/>
        </w:rPr>
        <w:t>:……………………………..</w:t>
      </w:r>
    </w:p>
    <w:p w:rsidR="00F01315" w:rsidRDefault="00F01315" w:rsidP="000C0473">
      <w:pPr>
        <w:rPr>
          <w:rFonts w:ascii="Arial" w:hAnsi="Arial" w:cs="Arial"/>
          <w:sz w:val="20"/>
          <w:szCs w:val="20"/>
        </w:rPr>
      </w:pPr>
    </w:p>
    <w:p w:rsidR="00F01315" w:rsidRDefault="00F01315" w:rsidP="000C0473">
      <w:pPr>
        <w:rPr>
          <w:rFonts w:ascii="Arial" w:hAnsi="Arial" w:cs="Arial"/>
          <w:sz w:val="20"/>
          <w:szCs w:val="20"/>
        </w:rPr>
      </w:pPr>
    </w:p>
    <w:p w:rsidR="00F01315" w:rsidRPr="000C0473" w:rsidRDefault="00F01315" w:rsidP="000C0473">
      <w:pPr>
        <w:rPr>
          <w:rFonts w:ascii="Arial" w:hAnsi="Arial" w:cs="Arial"/>
        </w:rPr>
      </w:pPr>
    </w:p>
    <w:sectPr w:rsidR="00F01315" w:rsidRPr="000C04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15" w:rsidRDefault="00F01315" w:rsidP="00F01315">
      <w:pPr>
        <w:spacing w:after="0" w:line="240" w:lineRule="auto"/>
      </w:pPr>
      <w:r>
        <w:separator/>
      </w:r>
    </w:p>
  </w:endnote>
  <w:endnote w:type="continuationSeparator" w:id="0">
    <w:p w:rsidR="00F01315" w:rsidRDefault="00F01315" w:rsidP="00F0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35" w:rsidRDefault="008D3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15" w:rsidRPr="00F01315" w:rsidRDefault="009D5A18">
    <w:pPr>
      <w:pStyle w:val="Footer"/>
      <w:rPr>
        <w:rFonts w:ascii="Arial" w:hAnsi="Arial" w:cs="Arial"/>
        <w:sz w:val="12"/>
        <w:szCs w:val="12"/>
      </w:rPr>
    </w:pPr>
    <w:r>
      <w:rPr>
        <w:rFonts w:ascii="Arial" w:hAnsi="Arial" w:cs="Arial"/>
        <w:sz w:val="12"/>
        <w:szCs w:val="12"/>
      </w:rPr>
      <w:t xml:space="preserve">DASH </w:t>
    </w:r>
    <w:r w:rsidR="00F01315" w:rsidRPr="00F01315">
      <w:rPr>
        <w:rFonts w:ascii="Arial" w:hAnsi="Arial" w:cs="Arial"/>
        <w:sz w:val="12"/>
        <w:szCs w:val="12"/>
      </w:rPr>
      <w:t xml:space="preserve">Version 1 </w:t>
    </w:r>
    <w:r>
      <w:rPr>
        <w:rFonts w:ascii="Arial" w:hAnsi="Arial" w:cs="Arial"/>
        <w:sz w:val="12"/>
        <w:szCs w:val="12"/>
      </w:rPr>
      <w:t xml:space="preserve">29.11.2018 </w:t>
    </w:r>
    <w:bookmarkStart w:id="0" w:name="_GoBack"/>
    <w:bookmarkEnd w:id="0"/>
    <w:r w:rsidR="00F01315" w:rsidRPr="00F01315">
      <w:rPr>
        <w:rFonts w:ascii="Arial" w:hAnsi="Arial" w:cs="Arial"/>
        <w:sz w:val="12"/>
        <w:szCs w:val="12"/>
      </w:rPr>
      <w:t>BC/</w:t>
    </w:r>
    <w:r w:rsidR="008D3135">
      <w:rPr>
        <w:rFonts w:ascii="Arial" w:hAnsi="Arial" w:cs="Arial"/>
        <w:sz w:val="12"/>
        <w:szCs w:val="12"/>
      </w:rPr>
      <w:t>SH</w:t>
    </w:r>
  </w:p>
  <w:p w:rsidR="00F01315" w:rsidRDefault="00F01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35" w:rsidRDefault="008D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15" w:rsidRDefault="00F01315" w:rsidP="00F01315">
      <w:pPr>
        <w:spacing w:after="0" w:line="240" w:lineRule="auto"/>
      </w:pPr>
      <w:r>
        <w:separator/>
      </w:r>
    </w:p>
  </w:footnote>
  <w:footnote w:type="continuationSeparator" w:id="0">
    <w:p w:rsidR="00F01315" w:rsidRDefault="00F01315" w:rsidP="00F01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35" w:rsidRDefault="008D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35" w:rsidRDefault="008D3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35" w:rsidRDefault="008D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52F87"/>
    <w:multiLevelType w:val="hybridMultilevel"/>
    <w:tmpl w:val="265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73"/>
    <w:rsid w:val="000C0473"/>
    <w:rsid w:val="002D1647"/>
    <w:rsid w:val="008D3135"/>
    <w:rsid w:val="009D5A18"/>
    <w:rsid w:val="00DB1DC3"/>
    <w:rsid w:val="00F01315"/>
    <w:rsid w:val="00F0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4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73"/>
    <w:rPr>
      <w:rFonts w:ascii="Tahoma" w:hAnsi="Tahoma" w:cs="Tahoma"/>
      <w:sz w:val="16"/>
      <w:szCs w:val="16"/>
    </w:rPr>
  </w:style>
  <w:style w:type="paragraph" w:styleId="Header">
    <w:name w:val="header"/>
    <w:basedOn w:val="Normal"/>
    <w:link w:val="HeaderChar"/>
    <w:uiPriority w:val="99"/>
    <w:unhideWhenUsed/>
    <w:rsid w:val="00F0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15"/>
  </w:style>
  <w:style w:type="paragraph" w:styleId="Footer">
    <w:name w:val="footer"/>
    <w:basedOn w:val="Normal"/>
    <w:link w:val="FooterChar"/>
    <w:uiPriority w:val="99"/>
    <w:unhideWhenUsed/>
    <w:rsid w:val="00F0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4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73"/>
    <w:rPr>
      <w:rFonts w:ascii="Tahoma" w:hAnsi="Tahoma" w:cs="Tahoma"/>
      <w:sz w:val="16"/>
      <w:szCs w:val="16"/>
    </w:rPr>
  </w:style>
  <w:style w:type="paragraph" w:styleId="Header">
    <w:name w:val="header"/>
    <w:basedOn w:val="Normal"/>
    <w:link w:val="HeaderChar"/>
    <w:uiPriority w:val="99"/>
    <w:unhideWhenUsed/>
    <w:rsid w:val="00F0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15"/>
  </w:style>
  <w:style w:type="paragraph" w:styleId="Footer">
    <w:name w:val="footer"/>
    <w:basedOn w:val="Normal"/>
    <w:link w:val="FooterChar"/>
    <w:uiPriority w:val="99"/>
    <w:unhideWhenUsed/>
    <w:rsid w:val="00F0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Bernie (Pharmacy)</dc:creator>
  <cp:lastModifiedBy>Hodgson Sheila (Pharmacy)</cp:lastModifiedBy>
  <cp:revision>4</cp:revision>
  <dcterms:created xsi:type="dcterms:W3CDTF">2019-01-09T13:05:00Z</dcterms:created>
  <dcterms:modified xsi:type="dcterms:W3CDTF">2019-02-05T16:00:00Z</dcterms:modified>
</cp:coreProperties>
</file>