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05A8E" w14:textId="77777777" w:rsidR="001D4DB3" w:rsidRPr="00F14722" w:rsidRDefault="001D4DB3" w:rsidP="48BDE3A0">
      <w:pPr>
        <w:pStyle w:val="Header"/>
        <w:rPr>
          <w:rFonts w:ascii="Verdana" w:eastAsia="Verdana" w:hAnsi="Verdana" w:cs="Verdana"/>
          <w:sz w:val="24"/>
          <w:szCs w:val="24"/>
        </w:rPr>
      </w:pPr>
    </w:p>
    <w:p w14:paraId="01E563D0" w14:textId="23AADF91" w:rsidR="001D4DB3" w:rsidRDefault="00642EC3" w:rsidP="48BDE3A0">
      <w:pPr>
        <w:pStyle w:val="Header"/>
        <w:jc w:val="center"/>
        <w:rPr>
          <w:rFonts w:ascii="Verdana" w:eastAsia="Verdana" w:hAnsi="Verdana" w:cs="Verdana"/>
          <w:b/>
          <w:bCs/>
          <w:sz w:val="28"/>
          <w:szCs w:val="28"/>
          <w:u w:val="single"/>
        </w:rPr>
      </w:pPr>
      <w:proofErr w:type="spellStart"/>
      <w:r w:rsidRPr="3CCAAAAA">
        <w:rPr>
          <w:rFonts w:ascii="Verdana" w:eastAsia="Verdana" w:hAnsi="Verdana" w:cs="Verdana"/>
          <w:b/>
          <w:bCs/>
          <w:sz w:val="28"/>
          <w:szCs w:val="28"/>
          <w:u w:val="single"/>
        </w:rPr>
        <w:t>PhEAST</w:t>
      </w:r>
      <w:proofErr w:type="spellEnd"/>
      <w:r w:rsidR="001D4DB3" w:rsidRPr="3CCAAAAA">
        <w:rPr>
          <w:rFonts w:ascii="Verdana" w:eastAsia="Verdana" w:hAnsi="Verdana" w:cs="Verdana"/>
          <w:b/>
          <w:bCs/>
          <w:sz w:val="28"/>
          <w:szCs w:val="28"/>
          <w:u w:val="single"/>
        </w:rPr>
        <w:t xml:space="preserve"> Working Practice Document</w:t>
      </w:r>
    </w:p>
    <w:p w14:paraId="7BEEC87B" w14:textId="70DBF578" w:rsidR="001D4DB3" w:rsidRPr="00F14722" w:rsidRDefault="001D4DB3" w:rsidP="48BDE3A0">
      <w:pPr>
        <w:pStyle w:val="Header"/>
        <w:jc w:val="center"/>
        <w:rPr>
          <w:rFonts w:ascii="Verdana" w:eastAsia="Verdana" w:hAnsi="Verdana" w:cs="Verdana"/>
          <w:b/>
          <w:bCs/>
          <w:sz w:val="28"/>
          <w:szCs w:val="28"/>
        </w:rPr>
      </w:pPr>
      <w:r w:rsidRPr="3CCAAAAA">
        <w:rPr>
          <w:rFonts w:ascii="Verdana" w:eastAsia="Verdana" w:hAnsi="Verdana" w:cs="Verdana"/>
          <w:b/>
          <w:bCs/>
          <w:sz w:val="28"/>
          <w:szCs w:val="28"/>
        </w:rPr>
        <w:t xml:space="preserve">Title: </w:t>
      </w:r>
      <w:r w:rsidR="0075399E" w:rsidRPr="3CCAAAAA">
        <w:rPr>
          <w:rFonts w:ascii="Verdana" w:eastAsia="Verdana" w:hAnsi="Verdana" w:cs="Verdana"/>
          <w:b/>
          <w:bCs/>
          <w:sz w:val="28"/>
          <w:szCs w:val="28"/>
        </w:rPr>
        <w:t>Serious Adverse Events Reporting</w:t>
      </w:r>
      <w:r w:rsidR="36CF6AD7" w:rsidRPr="3CCAAAAA">
        <w:rPr>
          <w:rFonts w:ascii="Verdana" w:eastAsia="Verdana" w:hAnsi="Verdana" w:cs="Verdana"/>
          <w:b/>
          <w:bCs/>
          <w:sz w:val="28"/>
          <w:szCs w:val="28"/>
        </w:rPr>
        <w:t>, no. 013</w:t>
      </w:r>
    </w:p>
    <w:p w14:paraId="0F9C490F" w14:textId="547632DD" w:rsidR="00F14722" w:rsidRDefault="001D4DB3" w:rsidP="48BDE3A0">
      <w:pPr>
        <w:pStyle w:val="Header"/>
        <w:rPr>
          <w:rFonts w:ascii="Verdana" w:eastAsia="Verdana" w:hAnsi="Verdana" w:cs="Verdana"/>
          <w:b/>
          <w:bCs/>
          <w:sz w:val="24"/>
          <w:szCs w:val="24"/>
        </w:rPr>
      </w:pPr>
      <w:r w:rsidRPr="48BDE3A0">
        <w:rPr>
          <w:rFonts w:ascii="Verdana" w:eastAsia="Verdana" w:hAnsi="Verdana" w:cs="Verdana"/>
          <w:b/>
          <w:bCs/>
          <w:sz w:val="24"/>
          <w:szCs w:val="24"/>
        </w:rPr>
        <w:t xml:space="preserve">                                    </w:t>
      </w:r>
    </w:p>
    <w:p w14:paraId="7989F286" w14:textId="77777777" w:rsidR="0075399E" w:rsidRPr="0075399E" w:rsidRDefault="0075399E" w:rsidP="3CCAAAAA">
      <w:pPr>
        <w:pStyle w:val="Header"/>
        <w:jc w:val="both"/>
        <w:rPr>
          <w:rFonts w:ascii="Verdana" w:eastAsia="Verdana" w:hAnsi="Verdana" w:cs="Verdana"/>
          <w:sz w:val="24"/>
          <w:szCs w:val="24"/>
        </w:rPr>
      </w:pPr>
      <w:r w:rsidRPr="3CCAAAAA">
        <w:rPr>
          <w:rFonts w:ascii="Verdana" w:eastAsia="Verdana" w:hAnsi="Verdana" w:cs="Verdana"/>
          <w:sz w:val="24"/>
          <w:szCs w:val="24"/>
        </w:rPr>
        <w:t xml:space="preserve">PES has an excellent safety record in previous trials whilst participants with PSD, who usually have severe stroke, will have multiple adverse events and SAEs. Hence, we will limit recording to: </w:t>
      </w:r>
    </w:p>
    <w:p w14:paraId="3C29FD75" w14:textId="77777777" w:rsidR="0075399E" w:rsidRPr="0075399E" w:rsidRDefault="0075399E" w:rsidP="3CCAAAAA">
      <w:pPr>
        <w:pStyle w:val="Header"/>
        <w:jc w:val="both"/>
        <w:rPr>
          <w:rFonts w:ascii="Verdana" w:eastAsia="Verdana" w:hAnsi="Verdana" w:cs="Verdana"/>
          <w:sz w:val="24"/>
          <w:szCs w:val="24"/>
        </w:rPr>
      </w:pPr>
    </w:p>
    <w:p w14:paraId="55A8B567" w14:textId="69C455D2" w:rsidR="0075399E" w:rsidRDefault="0075399E" w:rsidP="3CCAAAAA">
      <w:pPr>
        <w:pStyle w:val="Header"/>
        <w:numPr>
          <w:ilvl w:val="0"/>
          <w:numId w:val="5"/>
        </w:numPr>
        <w:jc w:val="both"/>
        <w:rPr>
          <w:rFonts w:ascii="Verdana" w:eastAsia="Verdana" w:hAnsi="Verdana" w:cs="Verdana"/>
          <w:sz w:val="24"/>
          <w:szCs w:val="24"/>
        </w:rPr>
      </w:pPr>
      <w:r w:rsidRPr="3CCAAAAA">
        <w:rPr>
          <w:rFonts w:ascii="Verdana" w:eastAsia="Verdana" w:hAnsi="Verdana" w:cs="Verdana"/>
          <w:sz w:val="24"/>
          <w:szCs w:val="24"/>
        </w:rPr>
        <w:t xml:space="preserve">All Serious Adverse Events </w:t>
      </w:r>
      <w:r w:rsidR="009A0109" w:rsidRPr="3CCAAAAA">
        <w:rPr>
          <w:rFonts w:ascii="Verdana" w:eastAsia="Verdana" w:hAnsi="Verdana" w:cs="Verdana"/>
          <w:sz w:val="24"/>
          <w:szCs w:val="24"/>
        </w:rPr>
        <w:t>during</w:t>
      </w:r>
      <w:r w:rsidRPr="3CCAAAAA">
        <w:rPr>
          <w:rFonts w:ascii="Verdana" w:eastAsia="Verdana" w:hAnsi="Verdana" w:cs="Verdana"/>
          <w:sz w:val="24"/>
          <w:szCs w:val="24"/>
        </w:rPr>
        <w:t xml:space="preserve"> days</w:t>
      </w:r>
      <w:r w:rsidR="009A0109" w:rsidRPr="3CCAAAAA">
        <w:rPr>
          <w:rFonts w:ascii="Verdana" w:eastAsia="Verdana" w:hAnsi="Verdana" w:cs="Verdana"/>
          <w:sz w:val="24"/>
          <w:szCs w:val="24"/>
        </w:rPr>
        <w:t xml:space="preserve"> 0-9</w:t>
      </w:r>
      <w:r w:rsidRPr="3CCAAAAA">
        <w:rPr>
          <w:rFonts w:ascii="Verdana" w:eastAsia="Verdana" w:hAnsi="Verdana" w:cs="Verdana"/>
          <w:sz w:val="24"/>
          <w:szCs w:val="24"/>
        </w:rPr>
        <w:t xml:space="preserve">. </w:t>
      </w:r>
    </w:p>
    <w:p w14:paraId="7C13F317" w14:textId="77777777" w:rsidR="0075399E" w:rsidRDefault="0075399E" w:rsidP="3CCAAAAA">
      <w:pPr>
        <w:pStyle w:val="Header"/>
        <w:numPr>
          <w:ilvl w:val="0"/>
          <w:numId w:val="5"/>
        </w:numPr>
        <w:jc w:val="both"/>
        <w:rPr>
          <w:rFonts w:ascii="Verdana" w:eastAsia="Verdana" w:hAnsi="Verdana" w:cs="Verdana"/>
          <w:sz w:val="24"/>
          <w:szCs w:val="24"/>
        </w:rPr>
      </w:pPr>
      <w:r w:rsidRPr="3CCAAAAA">
        <w:rPr>
          <w:rFonts w:ascii="Verdana" w:eastAsia="Verdana" w:hAnsi="Verdana" w:cs="Verdana"/>
          <w:sz w:val="24"/>
          <w:szCs w:val="24"/>
        </w:rPr>
        <w:t xml:space="preserve">All Procedure/device-related Adverse Events and Serious Adverse Events over days 0-14. </w:t>
      </w:r>
    </w:p>
    <w:p w14:paraId="3F58C426" w14:textId="130011DC" w:rsidR="00F45E15" w:rsidRDefault="0075399E" w:rsidP="3CCAAAAA">
      <w:pPr>
        <w:pStyle w:val="Header"/>
        <w:numPr>
          <w:ilvl w:val="0"/>
          <w:numId w:val="5"/>
        </w:numPr>
        <w:jc w:val="both"/>
        <w:rPr>
          <w:rFonts w:ascii="Verdana" w:eastAsia="Verdana" w:hAnsi="Verdana" w:cs="Verdana"/>
          <w:sz w:val="24"/>
          <w:szCs w:val="24"/>
        </w:rPr>
      </w:pPr>
      <w:r w:rsidRPr="3CCAAAAA">
        <w:rPr>
          <w:rFonts w:ascii="Verdana" w:eastAsia="Verdana" w:hAnsi="Verdana" w:cs="Verdana"/>
          <w:sz w:val="24"/>
          <w:szCs w:val="24"/>
        </w:rPr>
        <w:t>All fatal Serious Adverse Events over days 1-90.</w:t>
      </w:r>
    </w:p>
    <w:p w14:paraId="5D8509C4" w14:textId="1503D007" w:rsidR="0075399E" w:rsidRPr="003728E4" w:rsidRDefault="0075399E" w:rsidP="3CCAAAAA">
      <w:pPr>
        <w:pStyle w:val="Header"/>
        <w:jc w:val="both"/>
        <w:rPr>
          <w:rFonts w:ascii="Verdana" w:eastAsia="Verdana" w:hAnsi="Verdana" w:cs="Verdana"/>
          <w:sz w:val="24"/>
          <w:szCs w:val="24"/>
        </w:rPr>
      </w:pPr>
    </w:p>
    <w:p w14:paraId="39C0B75B" w14:textId="20B8D196" w:rsidR="0075399E" w:rsidRPr="003728E4" w:rsidRDefault="0075399E" w:rsidP="3CCAAAAA">
      <w:pPr>
        <w:pStyle w:val="Header"/>
        <w:jc w:val="both"/>
        <w:rPr>
          <w:rFonts w:ascii="Verdana" w:eastAsia="Verdana" w:hAnsi="Verdana" w:cs="Verdana"/>
          <w:b/>
          <w:bCs/>
          <w:sz w:val="24"/>
          <w:szCs w:val="24"/>
        </w:rPr>
      </w:pPr>
      <w:r w:rsidRPr="3CCAAAAA">
        <w:rPr>
          <w:rFonts w:ascii="Verdana" w:eastAsia="Verdana" w:hAnsi="Verdana" w:cs="Verdana"/>
          <w:b/>
          <w:bCs/>
          <w:sz w:val="24"/>
          <w:szCs w:val="24"/>
        </w:rPr>
        <w:t>Definition of a Serious Adverse Event (SAE):</w:t>
      </w:r>
    </w:p>
    <w:p w14:paraId="76027933" w14:textId="77777777" w:rsidR="0075399E" w:rsidRDefault="0075399E" w:rsidP="3CCAAAAA">
      <w:pPr>
        <w:pStyle w:val="Header"/>
        <w:jc w:val="both"/>
        <w:rPr>
          <w:rFonts w:ascii="Verdana" w:eastAsia="Verdana" w:hAnsi="Verdana" w:cs="Verdana"/>
          <w:sz w:val="24"/>
          <w:szCs w:val="24"/>
        </w:rPr>
      </w:pPr>
    </w:p>
    <w:p w14:paraId="2A8AC746" w14:textId="77777777" w:rsidR="0075399E" w:rsidRPr="0075399E" w:rsidRDefault="0075399E" w:rsidP="3CCAAAAA">
      <w:pPr>
        <w:pStyle w:val="Header"/>
        <w:jc w:val="both"/>
        <w:rPr>
          <w:rFonts w:ascii="Verdana" w:eastAsia="Verdana" w:hAnsi="Verdana" w:cs="Verdana"/>
          <w:sz w:val="24"/>
          <w:szCs w:val="24"/>
        </w:rPr>
      </w:pPr>
      <w:r w:rsidRPr="3CCAAAAA">
        <w:rPr>
          <w:rFonts w:ascii="Verdana" w:eastAsia="Verdana" w:hAnsi="Verdana" w:cs="Verdana"/>
          <w:sz w:val="24"/>
          <w:szCs w:val="24"/>
        </w:rPr>
        <w:t xml:space="preserve">This is any adverse event occurring following study mandated procedures, having received the study intervention or control that results in any of the following outcomes: </w:t>
      </w:r>
    </w:p>
    <w:p w14:paraId="290B880C" w14:textId="77777777" w:rsidR="0075399E" w:rsidRPr="0075399E" w:rsidRDefault="0075399E" w:rsidP="3CCAAAAA">
      <w:pPr>
        <w:pStyle w:val="Header"/>
        <w:jc w:val="both"/>
        <w:rPr>
          <w:rFonts w:ascii="Verdana" w:eastAsia="Verdana" w:hAnsi="Verdana" w:cs="Verdana"/>
          <w:sz w:val="24"/>
          <w:szCs w:val="24"/>
        </w:rPr>
      </w:pPr>
    </w:p>
    <w:p w14:paraId="11A490C7" w14:textId="77777777" w:rsidR="0075399E" w:rsidRDefault="0075399E" w:rsidP="3CCAAAAA">
      <w:pPr>
        <w:pStyle w:val="Header"/>
        <w:numPr>
          <w:ilvl w:val="0"/>
          <w:numId w:val="6"/>
        </w:numPr>
        <w:jc w:val="both"/>
        <w:rPr>
          <w:rFonts w:ascii="Verdana" w:eastAsia="Verdana" w:hAnsi="Verdana" w:cs="Verdana"/>
          <w:sz w:val="24"/>
          <w:szCs w:val="24"/>
        </w:rPr>
      </w:pPr>
      <w:r w:rsidRPr="3CCAAAAA">
        <w:rPr>
          <w:rFonts w:ascii="Verdana" w:eastAsia="Verdana" w:hAnsi="Verdana" w:cs="Verdana"/>
          <w:sz w:val="24"/>
          <w:szCs w:val="24"/>
        </w:rPr>
        <w:t xml:space="preserve">Death </w:t>
      </w:r>
    </w:p>
    <w:p w14:paraId="44F08D7F" w14:textId="77777777" w:rsidR="0075399E" w:rsidRDefault="0075399E" w:rsidP="3CCAAAAA">
      <w:pPr>
        <w:pStyle w:val="Header"/>
        <w:numPr>
          <w:ilvl w:val="0"/>
          <w:numId w:val="6"/>
        </w:numPr>
        <w:jc w:val="both"/>
        <w:rPr>
          <w:rFonts w:ascii="Verdana" w:eastAsia="Verdana" w:hAnsi="Verdana" w:cs="Verdana"/>
          <w:sz w:val="24"/>
          <w:szCs w:val="24"/>
        </w:rPr>
      </w:pPr>
      <w:r w:rsidRPr="3CCAAAAA">
        <w:rPr>
          <w:rFonts w:ascii="Verdana" w:eastAsia="Verdana" w:hAnsi="Verdana" w:cs="Verdana"/>
          <w:sz w:val="24"/>
          <w:szCs w:val="24"/>
        </w:rPr>
        <w:t xml:space="preserve">A life-threatening adverse event </w:t>
      </w:r>
    </w:p>
    <w:p w14:paraId="7B2718AE" w14:textId="77777777" w:rsidR="0075399E" w:rsidRDefault="0075399E" w:rsidP="3CCAAAAA">
      <w:pPr>
        <w:pStyle w:val="Header"/>
        <w:numPr>
          <w:ilvl w:val="0"/>
          <w:numId w:val="6"/>
        </w:numPr>
        <w:jc w:val="both"/>
        <w:rPr>
          <w:rFonts w:ascii="Verdana" w:eastAsia="Verdana" w:hAnsi="Verdana" w:cs="Verdana"/>
          <w:sz w:val="24"/>
          <w:szCs w:val="24"/>
        </w:rPr>
      </w:pPr>
      <w:r w:rsidRPr="3CCAAAAA">
        <w:rPr>
          <w:rFonts w:ascii="Verdana" w:eastAsia="Verdana" w:hAnsi="Verdana" w:cs="Verdana"/>
          <w:sz w:val="24"/>
          <w:szCs w:val="24"/>
        </w:rPr>
        <w:t xml:space="preserve">Inpatient hospitalisation or prolongation of existing hospitalisation </w:t>
      </w:r>
    </w:p>
    <w:p w14:paraId="73FD282B" w14:textId="77777777" w:rsidR="0075399E" w:rsidRDefault="0075399E" w:rsidP="3CCAAAAA">
      <w:pPr>
        <w:pStyle w:val="Header"/>
        <w:numPr>
          <w:ilvl w:val="0"/>
          <w:numId w:val="6"/>
        </w:numPr>
        <w:jc w:val="both"/>
        <w:rPr>
          <w:rFonts w:ascii="Verdana" w:eastAsia="Verdana" w:hAnsi="Verdana" w:cs="Verdana"/>
          <w:sz w:val="24"/>
          <w:szCs w:val="24"/>
        </w:rPr>
      </w:pPr>
      <w:r w:rsidRPr="3CCAAAAA">
        <w:rPr>
          <w:rFonts w:ascii="Verdana" w:eastAsia="Verdana" w:hAnsi="Verdana" w:cs="Verdana"/>
          <w:sz w:val="24"/>
          <w:szCs w:val="24"/>
        </w:rPr>
        <w:t xml:space="preserve">A disability / incapacity </w:t>
      </w:r>
    </w:p>
    <w:p w14:paraId="42AE3F0B" w14:textId="4D8EA282" w:rsidR="0075399E" w:rsidRDefault="0075399E" w:rsidP="3CCAAAAA">
      <w:pPr>
        <w:pStyle w:val="Header"/>
        <w:numPr>
          <w:ilvl w:val="0"/>
          <w:numId w:val="6"/>
        </w:numPr>
        <w:jc w:val="both"/>
        <w:rPr>
          <w:rFonts w:ascii="Verdana" w:eastAsia="Verdana" w:hAnsi="Verdana" w:cs="Verdana"/>
          <w:sz w:val="24"/>
          <w:szCs w:val="24"/>
        </w:rPr>
      </w:pPr>
      <w:r w:rsidRPr="3CCAAAAA">
        <w:rPr>
          <w:rFonts w:ascii="Verdana" w:eastAsia="Verdana" w:hAnsi="Verdana" w:cs="Verdana"/>
          <w:sz w:val="24"/>
          <w:szCs w:val="24"/>
        </w:rPr>
        <w:t>A congenital anomaly in the offspring of a participant</w:t>
      </w:r>
    </w:p>
    <w:p w14:paraId="24BF006F" w14:textId="40421953" w:rsidR="0075399E" w:rsidRDefault="0075399E" w:rsidP="3CCAAAAA">
      <w:pPr>
        <w:pStyle w:val="Header"/>
        <w:numPr>
          <w:ilvl w:val="0"/>
          <w:numId w:val="6"/>
        </w:numPr>
        <w:jc w:val="both"/>
        <w:rPr>
          <w:rFonts w:ascii="Verdana" w:eastAsia="Verdana" w:hAnsi="Verdana" w:cs="Verdana"/>
          <w:sz w:val="24"/>
          <w:szCs w:val="24"/>
        </w:rPr>
      </w:pPr>
      <w:r w:rsidRPr="3CCAAAAA">
        <w:rPr>
          <w:rFonts w:ascii="Verdana" w:eastAsia="Verdana" w:hAnsi="Verdana" w:cs="Verdana"/>
          <w:sz w:val="24"/>
          <w:szCs w:val="24"/>
        </w:rPr>
        <w:t>Medically important</w:t>
      </w:r>
    </w:p>
    <w:p w14:paraId="1DCB5171" w14:textId="710464CD" w:rsidR="0075399E" w:rsidRDefault="0075399E" w:rsidP="3CCAAAAA">
      <w:pPr>
        <w:pStyle w:val="Header"/>
        <w:ind w:left="720"/>
        <w:jc w:val="both"/>
        <w:rPr>
          <w:rFonts w:ascii="Verdana" w:eastAsia="Verdana" w:hAnsi="Verdana" w:cs="Verdana"/>
          <w:sz w:val="24"/>
          <w:szCs w:val="24"/>
        </w:rPr>
      </w:pPr>
    </w:p>
    <w:p w14:paraId="4AD06F29" w14:textId="686089F7" w:rsidR="0075399E" w:rsidRPr="003728E4" w:rsidRDefault="0075399E" w:rsidP="3CCAAAAA">
      <w:pPr>
        <w:pStyle w:val="Header"/>
        <w:jc w:val="both"/>
        <w:rPr>
          <w:rFonts w:ascii="Verdana" w:eastAsia="Verdana" w:hAnsi="Verdana" w:cs="Verdana"/>
          <w:b/>
          <w:bCs/>
          <w:sz w:val="24"/>
          <w:szCs w:val="24"/>
        </w:rPr>
      </w:pPr>
      <w:r w:rsidRPr="3CCAAAAA">
        <w:rPr>
          <w:rFonts w:ascii="Verdana" w:eastAsia="Verdana" w:hAnsi="Verdana" w:cs="Verdana"/>
          <w:b/>
          <w:bCs/>
          <w:sz w:val="24"/>
          <w:szCs w:val="24"/>
        </w:rPr>
        <w:t xml:space="preserve">Definition of an </w:t>
      </w:r>
      <w:r w:rsidR="003728E4" w:rsidRPr="3CCAAAAA">
        <w:rPr>
          <w:rFonts w:ascii="Verdana" w:eastAsia="Verdana" w:hAnsi="Verdana" w:cs="Verdana"/>
          <w:b/>
          <w:bCs/>
          <w:sz w:val="24"/>
          <w:szCs w:val="24"/>
        </w:rPr>
        <w:t>A</w:t>
      </w:r>
      <w:r w:rsidRPr="3CCAAAAA">
        <w:rPr>
          <w:rFonts w:ascii="Verdana" w:eastAsia="Verdana" w:hAnsi="Verdana" w:cs="Verdana"/>
          <w:b/>
          <w:bCs/>
          <w:sz w:val="24"/>
          <w:szCs w:val="24"/>
        </w:rPr>
        <w:t xml:space="preserve">dverse </w:t>
      </w:r>
      <w:r w:rsidR="003728E4" w:rsidRPr="3CCAAAAA">
        <w:rPr>
          <w:rFonts w:ascii="Verdana" w:eastAsia="Verdana" w:hAnsi="Verdana" w:cs="Verdana"/>
          <w:b/>
          <w:bCs/>
          <w:sz w:val="24"/>
          <w:szCs w:val="24"/>
        </w:rPr>
        <w:t>D</w:t>
      </w:r>
      <w:r w:rsidRPr="3CCAAAAA">
        <w:rPr>
          <w:rFonts w:ascii="Verdana" w:eastAsia="Verdana" w:hAnsi="Verdana" w:cs="Verdana"/>
          <w:b/>
          <w:bCs/>
          <w:sz w:val="24"/>
          <w:szCs w:val="24"/>
        </w:rPr>
        <w:t xml:space="preserve">evice </w:t>
      </w:r>
      <w:r w:rsidR="003728E4" w:rsidRPr="3CCAAAAA">
        <w:rPr>
          <w:rFonts w:ascii="Verdana" w:eastAsia="Verdana" w:hAnsi="Verdana" w:cs="Verdana"/>
          <w:b/>
          <w:bCs/>
          <w:sz w:val="24"/>
          <w:szCs w:val="24"/>
        </w:rPr>
        <w:t>E</w:t>
      </w:r>
      <w:r w:rsidRPr="3CCAAAAA">
        <w:rPr>
          <w:rFonts w:ascii="Verdana" w:eastAsia="Verdana" w:hAnsi="Verdana" w:cs="Verdana"/>
          <w:b/>
          <w:bCs/>
          <w:sz w:val="24"/>
          <w:szCs w:val="24"/>
        </w:rPr>
        <w:t xml:space="preserve">ffect (ADE) / </w:t>
      </w:r>
      <w:r w:rsidR="003728E4" w:rsidRPr="3CCAAAAA">
        <w:rPr>
          <w:rFonts w:ascii="Verdana" w:eastAsia="Verdana" w:hAnsi="Verdana" w:cs="Verdana"/>
          <w:b/>
          <w:bCs/>
          <w:sz w:val="24"/>
          <w:szCs w:val="24"/>
        </w:rPr>
        <w:t>S</w:t>
      </w:r>
      <w:r w:rsidRPr="3CCAAAAA">
        <w:rPr>
          <w:rFonts w:ascii="Verdana" w:eastAsia="Verdana" w:hAnsi="Verdana" w:cs="Verdana"/>
          <w:b/>
          <w:bCs/>
          <w:sz w:val="24"/>
          <w:szCs w:val="24"/>
        </w:rPr>
        <w:t xml:space="preserve">erious </w:t>
      </w:r>
      <w:r w:rsidR="003728E4" w:rsidRPr="3CCAAAAA">
        <w:rPr>
          <w:rFonts w:ascii="Verdana" w:eastAsia="Verdana" w:hAnsi="Verdana" w:cs="Verdana"/>
          <w:b/>
          <w:bCs/>
          <w:sz w:val="24"/>
          <w:szCs w:val="24"/>
        </w:rPr>
        <w:t>A</w:t>
      </w:r>
      <w:r w:rsidRPr="3CCAAAAA">
        <w:rPr>
          <w:rFonts w:ascii="Verdana" w:eastAsia="Verdana" w:hAnsi="Verdana" w:cs="Verdana"/>
          <w:b/>
          <w:bCs/>
          <w:sz w:val="24"/>
          <w:szCs w:val="24"/>
        </w:rPr>
        <w:t xml:space="preserve">dverse </w:t>
      </w:r>
      <w:r w:rsidR="003728E4" w:rsidRPr="3CCAAAAA">
        <w:rPr>
          <w:rFonts w:ascii="Verdana" w:eastAsia="Verdana" w:hAnsi="Verdana" w:cs="Verdana"/>
          <w:b/>
          <w:bCs/>
          <w:sz w:val="24"/>
          <w:szCs w:val="24"/>
        </w:rPr>
        <w:t>D</w:t>
      </w:r>
      <w:r w:rsidRPr="3CCAAAAA">
        <w:rPr>
          <w:rFonts w:ascii="Verdana" w:eastAsia="Verdana" w:hAnsi="Verdana" w:cs="Verdana"/>
          <w:b/>
          <w:bCs/>
          <w:sz w:val="24"/>
          <w:szCs w:val="24"/>
        </w:rPr>
        <w:t xml:space="preserve">evice </w:t>
      </w:r>
      <w:r w:rsidR="003728E4" w:rsidRPr="3CCAAAAA">
        <w:rPr>
          <w:rFonts w:ascii="Verdana" w:eastAsia="Verdana" w:hAnsi="Verdana" w:cs="Verdana"/>
          <w:b/>
          <w:bCs/>
          <w:sz w:val="24"/>
          <w:szCs w:val="24"/>
        </w:rPr>
        <w:t>E</w:t>
      </w:r>
      <w:r w:rsidRPr="3CCAAAAA">
        <w:rPr>
          <w:rFonts w:ascii="Verdana" w:eastAsia="Verdana" w:hAnsi="Verdana" w:cs="Verdana"/>
          <w:b/>
          <w:bCs/>
          <w:sz w:val="24"/>
          <w:szCs w:val="24"/>
        </w:rPr>
        <w:t>ffect (SADE</w:t>
      </w:r>
      <w:r w:rsidR="003728E4" w:rsidRPr="3CCAAAAA">
        <w:rPr>
          <w:rFonts w:ascii="Verdana" w:eastAsia="Verdana" w:hAnsi="Verdana" w:cs="Verdana"/>
          <w:b/>
          <w:bCs/>
          <w:sz w:val="24"/>
          <w:szCs w:val="24"/>
        </w:rPr>
        <w:t>)</w:t>
      </w:r>
      <w:r w:rsidRPr="3CCAAAAA">
        <w:rPr>
          <w:rFonts w:ascii="Verdana" w:eastAsia="Verdana" w:hAnsi="Verdana" w:cs="Verdana"/>
          <w:b/>
          <w:bCs/>
          <w:sz w:val="24"/>
          <w:szCs w:val="24"/>
        </w:rPr>
        <w:t>:</w:t>
      </w:r>
    </w:p>
    <w:p w14:paraId="433A3FB9" w14:textId="77777777" w:rsidR="0075399E" w:rsidRPr="0075399E" w:rsidRDefault="0075399E" w:rsidP="3CCAAAAA">
      <w:pPr>
        <w:pStyle w:val="Header"/>
        <w:jc w:val="both"/>
        <w:rPr>
          <w:rFonts w:ascii="Verdana" w:eastAsia="Verdana" w:hAnsi="Verdana" w:cs="Verdana"/>
          <w:sz w:val="24"/>
          <w:szCs w:val="24"/>
        </w:rPr>
      </w:pPr>
    </w:p>
    <w:p w14:paraId="08707D73" w14:textId="69BB9AFA" w:rsidR="0075399E" w:rsidRPr="003728E4" w:rsidRDefault="0075399E" w:rsidP="3CCAAAAA">
      <w:pPr>
        <w:pStyle w:val="Header"/>
        <w:jc w:val="both"/>
        <w:rPr>
          <w:rFonts w:ascii="Verdana" w:eastAsia="Verdana" w:hAnsi="Verdana" w:cs="Verdana"/>
          <w:b/>
          <w:bCs/>
          <w:sz w:val="24"/>
          <w:szCs w:val="24"/>
        </w:rPr>
      </w:pPr>
      <w:r w:rsidRPr="3CCAAAAA">
        <w:rPr>
          <w:rFonts w:ascii="Verdana" w:eastAsia="Verdana" w:hAnsi="Verdana" w:cs="Verdana"/>
          <w:b/>
          <w:bCs/>
          <w:sz w:val="24"/>
          <w:szCs w:val="24"/>
        </w:rPr>
        <w:t>Adverse Device Effect (ADE):</w:t>
      </w:r>
    </w:p>
    <w:p w14:paraId="32667063" w14:textId="77777777" w:rsidR="0075399E" w:rsidRDefault="0075399E" w:rsidP="3CCAAAAA">
      <w:pPr>
        <w:pStyle w:val="Header"/>
        <w:numPr>
          <w:ilvl w:val="0"/>
          <w:numId w:val="7"/>
        </w:numPr>
        <w:jc w:val="both"/>
        <w:rPr>
          <w:rFonts w:ascii="Verdana" w:eastAsia="Verdana" w:hAnsi="Verdana" w:cs="Verdana"/>
          <w:sz w:val="24"/>
          <w:szCs w:val="24"/>
        </w:rPr>
      </w:pPr>
      <w:r w:rsidRPr="3CCAAAAA">
        <w:rPr>
          <w:rFonts w:ascii="Verdana" w:eastAsia="Verdana" w:hAnsi="Verdana" w:cs="Verdana"/>
          <w:sz w:val="24"/>
          <w:szCs w:val="24"/>
        </w:rPr>
        <w:t xml:space="preserve">Adverse event related to the use of an investigational medical device </w:t>
      </w:r>
    </w:p>
    <w:p w14:paraId="0272E8A6" w14:textId="77777777" w:rsidR="0075399E" w:rsidRDefault="0075399E" w:rsidP="3CCAAAAA">
      <w:pPr>
        <w:pStyle w:val="Header"/>
        <w:numPr>
          <w:ilvl w:val="0"/>
          <w:numId w:val="7"/>
        </w:numPr>
        <w:jc w:val="both"/>
        <w:rPr>
          <w:rFonts w:ascii="Verdana" w:eastAsia="Verdana" w:hAnsi="Verdana" w:cs="Verdana"/>
          <w:sz w:val="24"/>
          <w:szCs w:val="24"/>
        </w:rPr>
      </w:pPr>
      <w:r w:rsidRPr="3CCAAAAA">
        <w:rPr>
          <w:rFonts w:ascii="Verdana" w:eastAsia="Verdana" w:hAnsi="Verdana" w:cs="Verdana"/>
          <w:sz w:val="24"/>
          <w:szCs w:val="24"/>
        </w:rPr>
        <w:t>Includes any adverse event resulting from insufficiencies or inadequacies in the instructions for use, the deployment, the implantation, the installation, the operation, or any malfunction of the investigational medical device</w:t>
      </w:r>
    </w:p>
    <w:p w14:paraId="6452E520" w14:textId="28C838FB" w:rsidR="0075399E" w:rsidRDefault="0075399E" w:rsidP="3CCAAAAA">
      <w:pPr>
        <w:pStyle w:val="Header"/>
        <w:numPr>
          <w:ilvl w:val="0"/>
          <w:numId w:val="7"/>
        </w:numPr>
        <w:jc w:val="both"/>
        <w:rPr>
          <w:rFonts w:ascii="Verdana" w:eastAsia="Verdana" w:hAnsi="Verdana" w:cs="Verdana"/>
          <w:sz w:val="24"/>
          <w:szCs w:val="24"/>
        </w:rPr>
      </w:pPr>
      <w:r w:rsidRPr="3CCAAAAA">
        <w:rPr>
          <w:rFonts w:ascii="Verdana" w:eastAsia="Verdana" w:hAnsi="Verdana" w:cs="Verdana"/>
          <w:sz w:val="24"/>
          <w:szCs w:val="24"/>
        </w:rPr>
        <w:t>Includes any event that is a result of a use error or intentional abnormal use of the investigational medical device.</w:t>
      </w:r>
    </w:p>
    <w:p w14:paraId="143D9D08" w14:textId="0F5D51DD" w:rsidR="0075399E" w:rsidRDefault="0075399E" w:rsidP="3CCAAAAA">
      <w:pPr>
        <w:pStyle w:val="Header"/>
        <w:jc w:val="both"/>
        <w:rPr>
          <w:rFonts w:ascii="Verdana" w:eastAsia="Verdana" w:hAnsi="Verdana" w:cs="Verdana"/>
          <w:sz w:val="24"/>
          <w:szCs w:val="24"/>
        </w:rPr>
      </w:pPr>
    </w:p>
    <w:p w14:paraId="55619072" w14:textId="23CF9379" w:rsidR="3CCAAAAA" w:rsidRDefault="3CCAAAAA" w:rsidP="3CCAAAAA">
      <w:pPr>
        <w:pStyle w:val="Header"/>
        <w:jc w:val="both"/>
        <w:rPr>
          <w:rFonts w:ascii="Verdana" w:eastAsia="Verdana" w:hAnsi="Verdana" w:cs="Verdana"/>
          <w:b/>
          <w:bCs/>
          <w:sz w:val="24"/>
          <w:szCs w:val="24"/>
        </w:rPr>
      </w:pPr>
    </w:p>
    <w:p w14:paraId="157C5356" w14:textId="3676BD0D" w:rsidR="3CCAAAAA" w:rsidRDefault="3CCAAAAA" w:rsidP="3CCAAAAA">
      <w:pPr>
        <w:pStyle w:val="Header"/>
        <w:jc w:val="both"/>
        <w:rPr>
          <w:rFonts w:ascii="Verdana" w:eastAsia="Verdana" w:hAnsi="Verdana" w:cs="Verdana"/>
          <w:b/>
          <w:bCs/>
          <w:sz w:val="24"/>
          <w:szCs w:val="24"/>
        </w:rPr>
      </w:pPr>
    </w:p>
    <w:p w14:paraId="73702B94" w14:textId="527F6885" w:rsidR="3CCAAAAA" w:rsidRDefault="3CCAAAAA" w:rsidP="3CCAAAAA">
      <w:pPr>
        <w:pStyle w:val="Header"/>
        <w:jc w:val="both"/>
        <w:rPr>
          <w:rFonts w:ascii="Verdana" w:eastAsia="Verdana" w:hAnsi="Verdana" w:cs="Verdana"/>
          <w:b/>
          <w:bCs/>
          <w:sz w:val="24"/>
          <w:szCs w:val="24"/>
        </w:rPr>
      </w:pPr>
    </w:p>
    <w:p w14:paraId="03DAFDC5" w14:textId="47165E0D" w:rsidR="3CCAAAAA" w:rsidRDefault="3CCAAAAA" w:rsidP="3CCAAAAA">
      <w:pPr>
        <w:pStyle w:val="Header"/>
        <w:jc w:val="both"/>
        <w:rPr>
          <w:rFonts w:ascii="Verdana" w:eastAsia="Verdana" w:hAnsi="Verdana" w:cs="Verdana"/>
          <w:b/>
          <w:bCs/>
          <w:sz w:val="24"/>
          <w:szCs w:val="24"/>
        </w:rPr>
      </w:pPr>
    </w:p>
    <w:p w14:paraId="3CE41C3C" w14:textId="77777777" w:rsidR="00524787" w:rsidRDefault="00524787" w:rsidP="3CCAAAAA">
      <w:pPr>
        <w:pStyle w:val="Header"/>
        <w:jc w:val="both"/>
        <w:rPr>
          <w:rFonts w:ascii="Verdana" w:eastAsia="Verdana" w:hAnsi="Verdana" w:cs="Verdana"/>
          <w:b/>
          <w:bCs/>
          <w:sz w:val="24"/>
          <w:szCs w:val="24"/>
        </w:rPr>
      </w:pPr>
    </w:p>
    <w:p w14:paraId="4A03EA10" w14:textId="77777777" w:rsidR="00524787" w:rsidRDefault="00524787" w:rsidP="3CCAAAAA">
      <w:pPr>
        <w:pStyle w:val="Header"/>
        <w:jc w:val="both"/>
        <w:rPr>
          <w:rFonts w:ascii="Verdana" w:eastAsia="Verdana" w:hAnsi="Verdana" w:cs="Verdana"/>
          <w:b/>
          <w:bCs/>
          <w:sz w:val="24"/>
          <w:szCs w:val="24"/>
        </w:rPr>
      </w:pPr>
    </w:p>
    <w:p w14:paraId="4868C627" w14:textId="77777777" w:rsidR="00524787" w:rsidRDefault="00524787" w:rsidP="3CCAAAAA">
      <w:pPr>
        <w:pStyle w:val="Header"/>
        <w:jc w:val="both"/>
        <w:rPr>
          <w:rFonts w:ascii="Verdana" w:eastAsia="Verdana" w:hAnsi="Verdana" w:cs="Verdana"/>
          <w:b/>
          <w:bCs/>
          <w:sz w:val="24"/>
          <w:szCs w:val="24"/>
        </w:rPr>
      </w:pPr>
    </w:p>
    <w:p w14:paraId="25704181" w14:textId="77777777" w:rsidR="00524787" w:rsidRDefault="00524787" w:rsidP="3CCAAAAA">
      <w:pPr>
        <w:pStyle w:val="Header"/>
        <w:jc w:val="both"/>
        <w:rPr>
          <w:rFonts w:ascii="Verdana" w:eastAsia="Verdana" w:hAnsi="Verdana" w:cs="Verdana"/>
          <w:b/>
          <w:bCs/>
          <w:sz w:val="24"/>
          <w:szCs w:val="24"/>
        </w:rPr>
      </w:pPr>
    </w:p>
    <w:p w14:paraId="610714F7" w14:textId="5FF51DA7" w:rsidR="3CCAAAAA" w:rsidRDefault="3CCAAAAA" w:rsidP="3CCAAAAA">
      <w:pPr>
        <w:pStyle w:val="Header"/>
        <w:jc w:val="both"/>
        <w:rPr>
          <w:rFonts w:ascii="Verdana" w:eastAsia="Verdana" w:hAnsi="Verdana" w:cs="Verdana"/>
          <w:b/>
          <w:bCs/>
          <w:sz w:val="24"/>
          <w:szCs w:val="24"/>
        </w:rPr>
      </w:pPr>
    </w:p>
    <w:p w14:paraId="2B79556D" w14:textId="44407BEB" w:rsidR="0075399E" w:rsidRPr="003728E4" w:rsidRDefault="0075399E" w:rsidP="3CCAAAAA">
      <w:pPr>
        <w:pStyle w:val="Header"/>
        <w:jc w:val="both"/>
        <w:rPr>
          <w:rFonts w:ascii="Verdana" w:eastAsia="Verdana" w:hAnsi="Verdana" w:cs="Verdana"/>
          <w:b/>
          <w:bCs/>
          <w:sz w:val="24"/>
          <w:szCs w:val="24"/>
        </w:rPr>
      </w:pPr>
      <w:r w:rsidRPr="3CCAAAAA">
        <w:rPr>
          <w:rFonts w:ascii="Verdana" w:eastAsia="Verdana" w:hAnsi="Verdana" w:cs="Verdana"/>
          <w:b/>
          <w:bCs/>
          <w:sz w:val="24"/>
          <w:szCs w:val="24"/>
        </w:rPr>
        <w:lastRenderedPageBreak/>
        <w:t>Serious Adverse Device Effect (SADE):</w:t>
      </w:r>
    </w:p>
    <w:p w14:paraId="63DA46FA" w14:textId="1525AED6" w:rsidR="3CCAAAAA" w:rsidRDefault="3CCAAAAA" w:rsidP="3CCAAAAA">
      <w:pPr>
        <w:pStyle w:val="Header"/>
        <w:jc w:val="both"/>
        <w:rPr>
          <w:rFonts w:ascii="Verdana" w:eastAsia="Verdana" w:hAnsi="Verdana" w:cs="Verdana"/>
          <w:b/>
          <w:bCs/>
          <w:sz w:val="24"/>
          <w:szCs w:val="24"/>
        </w:rPr>
      </w:pPr>
    </w:p>
    <w:p w14:paraId="443A44C8" w14:textId="589C05F8" w:rsidR="003728E4" w:rsidRPr="003728E4" w:rsidRDefault="003728E4" w:rsidP="3CCAAAAA">
      <w:pPr>
        <w:pStyle w:val="Header"/>
        <w:numPr>
          <w:ilvl w:val="0"/>
          <w:numId w:val="8"/>
        </w:numPr>
        <w:jc w:val="both"/>
        <w:rPr>
          <w:rFonts w:ascii="Verdana" w:eastAsia="Verdana" w:hAnsi="Verdana" w:cs="Verdana"/>
          <w:sz w:val="24"/>
          <w:szCs w:val="24"/>
        </w:rPr>
      </w:pPr>
      <w:r w:rsidRPr="3CCAAAAA">
        <w:rPr>
          <w:rFonts w:ascii="Verdana" w:eastAsia="Verdana" w:hAnsi="Verdana" w:cs="Verdana"/>
          <w:sz w:val="24"/>
          <w:szCs w:val="24"/>
        </w:rPr>
        <w:t>Adverse device effect that has resulted in any of the consequences characteristic of a</w:t>
      </w:r>
    </w:p>
    <w:p w14:paraId="120845BE" w14:textId="1F86F639" w:rsidR="0075399E" w:rsidRDefault="003728E4" w:rsidP="3CCAAAAA">
      <w:pPr>
        <w:pStyle w:val="Header"/>
        <w:jc w:val="both"/>
        <w:rPr>
          <w:rFonts w:ascii="Verdana" w:eastAsia="Verdana" w:hAnsi="Verdana" w:cs="Verdana"/>
          <w:sz w:val="24"/>
          <w:szCs w:val="24"/>
        </w:rPr>
      </w:pPr>
      <w:r w:rsidRPr="3CCAAAAA">
        <w:rPr>
          <w:rFonts w:ascii="Verdana" w:eastAsia="Verdana" w:hAnsi="Verdana" w:cs="Verdana"/>
          <w:sz w:val="24"/>
          <w:szCs w:val="24"/>
        </w:rPr>
        <w:t>serious adverse event.</w:t>
      </w:r>
    </w:p>
    <w:p w14:paraId="570F1DE5" w14:textId="226EE1DB" w:rsidR="003728E4" w:rsidRDefault="003728E4" w:rsidP="3CCAAAAA">
      <w:pPr>
        <w:pStyle w:val="Header"/>
        <w:jc w:val="both"/>
        <w:rPr>
          <w:rFonts w:ascii="Verdana" w:eastAsia="Verdana" w:hAnsi="Verdana" w:cs="Verdana"/>
          <w:sz w:val="24"/>
          <w:szCs w:val="24"/>
        </w:rPr>
      </w:pPr>
    </w:p>
    <w:p w14:paraId="02D70A0C" w14:textId="57DA57F6" w:rsidR="003728E4" w:rsidRDefault="003728E4" w:rsidP="3CCAAAAA">
      <w:pPr>
        <w:pStyle w:val="Header"/>
        <w:jc w:val="both"/>
        <w:rPr>
          <w:rFonts w:ascii="Verdana" w:eastAsia="Verdana" w:hAnsi="Verdana" w:cs="Verdana"/>
          <w:sz w:val="24"/>
          <w:szCs w:val="24"/>
        </w:rPr>
      </w:pPr>
      <w:r w:rsidRPr="3CCAAAAA">
        <w:rPr>
          <w:rFonts w:ascii="Verdana" w:eastAsia="Verdana" w:hAnsi="Verdana" w:cs="Verdana"/>
          <w:b/>
          <w:bCs/>
          <w:sz w:val="24"/>
          <w:szCs w:val="24"/>
        </w:rPr>
        <w:t>Unanticipated Serious Adverse Device Effect</w:t>
      </w:r>
      <w:r w:rsidRPr="3CCAAAAA">
        <w:rPr>
          <w:rFonts w:ascii="Verdana" w:eastAsia="Verdana" w:hAnsi="Verdana" w:cs="Verdana"/>
          <w:sz w:val="24"/>
          <w:szCs w:val="24"/>
        </w:rPr>
        <w:t>:</w:t>
      </w:r>
    </w:p>
    <w:p w14:paraId="2F3F6C50" w14:textId="06683EE7" w:rsidR="3CCAAAAA" w:rsidRDefault="3CCAAAAA" w:rsidP="3CCAAAAA">
      <w:pPr>
        <w:pStyle w:val="Header"/>
        <w:jc w:val="both"/>
        <w:rPr>
          <w:rFonts w:ascii="Verdana" w:eastAsia="Verdana" w:hAnsi="Verdana" w:cs="Verdana"/>
          <w:sz w:val="24"/>
          <w:szCs w:val="24"/>
        </w:rPr>
      </w:pPr>
    </w:p>
    <w:p w14:paraId="48604A3A" w14:textId="1863A12A" w:rsidR="003728E4" w:rsidRPr="003728E4" w:rsidRDefault="003728E4" w:rsidP="3CCAAAAA">
      <w:pPr>
        <w:pStyle w:val="Header"/>
        <w:numPr>
          <w:ilvl w:val="0"/>
          <w:numId w:val="8"/>
        </w:numPr>
        <w:jc w:val="both"/>
        <w:rPr>
          <w:rFonts w:ascii="Verdana" w:eastAsia="Verdana" w:hAnsi="Verdana" w:cs="Verdana"/>
          <w:sz w:val="24"/>
          <w:szCs w:val="24"/>
        </w:rPr>
      </w:pPr>
      <w:r w:rsidRPr="3CCAAAAA">
        <w:rPr>
          <w:rFonts w:ascii="Verdana" w:eastAsia="Verdana" w:hAnsi="Verdana" w:cs="Verdana"/>
          <w:sz w:val="24"/>
          <w:szCs w:val="24"/>
        </w:rPr>
        <w:t>Serious adverse device effect which by its nature, incidence, severity or outcome has</w:t>
      </w:r>
    </w:p>
    <w:p w14:paraId="74099EA9" w14:textId="622E5F95" w:rsidR="003728E4" w:rsidRDefault="003728E4" w:rsidP="3CCAAAAA">
      <w:pPr>
        <w:pStyle w:val="Header"/>
        <w:jc w:val="both"/>
        <w:rPr>
          <w:rFonts w:ascii="Verdana" w:eastAsia="Verdana" w:hAnsi="Verdana" w:cs="Verdana"/>
          <w:sz w:val="24"/>
          <w:szCs w:val="24"/>
        </w:rPr>
      </w:pPr>
      <w:r w:rsidRPr="3CCAAAAA">
        <w:rPr>
          <w:rFonts w:ascii="Verdana" w:eastAsia="Verdana" w:hAnsi="Verdana" w:cs="Verdana"/>
          <w:sz w:val="24"/>
          <w:szCs w:val="24"/>
        </w:rPr>
        <w:t>not been identified in the current version of the risk analysis report.</w:t>
      </w:r>
    </w:p>
    <w:p w14:paraId="63BCE58E" w14:textId="5512A47D" w:rsidR="003728E4" w:rsidRPr="003728E4" w:rsidRDefault="003728E4" w:rsidP="3CCAAAAA">
      <w:pPr>
        <w:pStyle w:val="Header"/>
        <w:numPr>
          <w:ilvl w:val="0"/>
          <w:numId w:val="8"/>
        </w:numPr>
        <w:jc w:val="both"/>
        <w:rPr>
          <w:rFonts w:ascii="Verdana" w:eastAsia="Verdana" w:hAnsi="Verdana" w:cs="Verdana"/>
          <w:sz w:val="24"/>
          <w:szCs w:val="24"/>
        </w:rPr>
      </w:pPr>
      <w:r w:rsidRPr="3CCAAAAA">
        <w:rPr>
          <w:rFonts w:ascii="Verdana" w:eastAsia="Verdana" w:hAnsi="Verdana" w:cs="Verdana"/>
          <w:sz w:val="24"/>
          <w:szCs w:val="24"/>
        </w:rPr>
        <w:t>A list of anticipated adverse events / serious adverse events is listed within the trial protocol.</w:t>
      </w:r>
    </w:p>
    <w:p w14:paraId="6506EC46" w14:textId="77777777" w:rsidR="0075399E" w:rsidRPr="003728E4" w:rsidRDefault="0075399E" w:rsidP="3CCAAAAA">
      <w:pPr>
        <w:pStyle w:val="Header"/>
        <w:jc w:val="both"/>
        <w:rPr>
          <w:rFonts w:ascii="Verdana" w:eastAsia="Verdana" w:hAnsi="Verdana" w:cs="Verdana"/>
          <w:b/>
          <w:bCs/>
          <w:color w:val="FF0000"/>
          <w:sz w:val="24"/>
          <w:szCs w:val="24"/>
        </w:rPr>
      </w:pPr>
    </w:p>
    <w:p w14:paraId="3A522210" w14:textId="7BF18352" w:rsidR="0075399E" w:rsidRPr="003728E4" w:rsidRDefault="0075399E" w:rsidP="3CCAAAAA">
      <w:pPr>
        <w:pStyle w:val="Header"/>
        <w:jc w:val="both"/>
        <w:rPr>
          <w:rFonts w:ascii="Verdana" w:eastAsia="Verdana" w:hAnsi="Verdana" w:cs="Verdana"/>
          <w:b/>
          <w:bCs/>
          <w:color w:val="FF0000"/>
          <w:sz w:val="24"/>
          <w:szCs w:val="24"/>
        </w:rPr>
      </w:pPr>
      <w:r w:rsidRPr="3CCAAAAA">
        <w:rPr>
          <w:rFonts w:ascii="Verdana" w:eastAsia="Verdana" w:hAnsi="Verdana" w:cs="Verdana"/>
          <w:b/>
          <w:bCs/>
          <w:color w:val="FF0000"/>
          <w:sz w:val="24"/>
          <w:szCs w:val="24"/>
        </w:rPr>
        <w:t xml:space="preserve">Serious Adverse Events and device-related adverse events (within the above time scales) must be reported via the SAE form on </w:t>
      </w:r>
      <w:proofErr w:type="spellStart"/>
      <w:r w:rsidRPr="3CCAAAAA">
        <w:rPr>
          <w:rFonts w:ascii="Verdana" w:eastAsia="Verdana" w:hAnsi="Verdana" w:cs="Verdana"/>
          <w:b/>
          <w:bCs/>
          <w:color w:val="FF0000"/>
          <w:sz w:val="24"/>
          <w:szCs w:val="24"/>
        </w:rPr>
        <w:t>REDCap</w:t>
      </w:r>
      <w:proofErr w:type="spellEnd"/>
      <w:r w:rsidRPr="3CCAAAAA">
        <w:rPr>
          <w:rFonts w:ascii="Verdana" w:eastAsia="Verdana" w:hAnsi="Verdana" w:cs="Verdana"/>
          <w:b/>
          <w:bCs/>
          <w:color w:val="FF0000"/>
          <w:sz w:val="24"/>
          <w:szCs w:val="24"/>
        </w:rPr>
        <w:t xml:space="preserve"> within 24 hours of knowledge of the event.</w:t>
      </w:r>
    </w:p>
    <w:p w14:paraId="0D983895" w14:textId="77777777" w:rsidR="0075399E" w:rsidRDefault="0075399E" w:rsidP="3CCAAAAA">
      <w:pPr>
        <w:pStyle w:val="Header"/>
        <w:jc w:val="both"/>
        <w:rPr>
          <w:rFonts w:ascii="Verdana" w:eastAsia="Verdana" w:hAnsi="Verdana" w:cs="Verdana"/>
          <w:sz w:val="24"/>
          <w:szCs w:val="24"/>
        </w:rPr>
      </w:pPr>
    </w:p>
    <w:p w14:paraId="7E8D1CF2" w14:textId="30C2EA31" w:rsidR="0075399E" w:rsidRDefault="0075399E" w:rsidP="3CCAAAAA">
      <w:pPr>
        <w:pStyle w:val="Header"/>
        <w:jc w:val="both"/>
        <w:rPr>
          <w:rFonts w:ascii="Verdana" w:eastAsia="Verdana" w:hAnsi="Verdana" w:cs="Verdana"/>
          <w:sz w:val="24"/>
          <w:szCs w:val="24"/>
        </w:rPr>
      </w:pPr>
      <w:r w:rsidRPr="3CCAAAAA">
        <w:rPr>
          <w:rFonts w:ascii="Verdana" w:eastAsia="Verdana" w:hAnsi="Verdana" w:cs="Verdana"/>
          <w:sz w:val="24"/>
          <w:szCs w:val="24"/>
        </w:rPr>
        <w:t>The initial form can be completed by a research nurse / coordinator / SLT, who will be able to sign the form online. Once signed and saved as complete, this will send an email notification through to the Principal Investigator, who will need to review the information online and sign the online form to say whether they agree. The Chief Investigator will also receive an email to review the SAE, once reviewed more information may be requested from the site – the trial manager will contact the site if this is the case.</w:t>
      </w:r>
    </w:p>
    <w:p w14:paraId="35003E19" w14:textId="77777777" w:rsidR="0075399E" w:rsidRDefault="0075399E" w:rsidP="3CCAAAAA">
      <w:pPr>
        <w:pStyle w:val="Header"/>
        <w:jc w:val="both"/>
        <w:rPr>
          <w:rFonts w:ascii="Verdana" w:eastAsia="Verdana" w:hAnsi="Verdana" w:cs="Verdana"/>
          <w:sz w:val="24"/>
          <w:szCs w:val="24"/>
        </w:rPr>
      </w:pPr>
    </w:p>
    <w:p w14:paraId="72AA21D2" w14:textId="1E9FD40E" w:rsidR="0075399E" w:rsidRDefault="0075399E" w:rsidP="3CCAAAAA">
      <w:pPr>
        <w:pStyle w:val="Header"/>
        <w:jc w:val="both"/>
        <w:rPr>
          <w:rFonts w:ascii="Verdana" w:eastAsia="Verdana" w:hAnsi="Verdana" w:cs="Verdana"/>
          <w:sz w:val="24"/>
          <w:szCs w:val="24"/>
        </w:rPr>
      </w:pPr>
      <w:r w:rsidRPr="3CCAAAAA">
        <w:rPr>
          <w:rFonts w:ascii="Verdana" w:eastAsia="Verdana" w:hAnsi="Verdana" w:cs="Verdana"/>
          <w:sz w:val="24"/>
          <w:szCs w:val="24"/>
        </w:rPr>
        <w:t xml:space="preserve">Review by the Principal Investigator should take place within 24 hours of the SAE being reported. They should review the entire form, </w:t>
      </w:r>
      <w:proofErr w:type="gramStart"/>
      <w:r w:rsidRPr="3CCAAAAA">
        <w:rPr>
          <w:rFonts w:ascii="Verdana" w:eastAsia="Verdana" w:hAnsi="Verdana" w:cs="Verdana"/>
          <w:sz w:val="24"/>
          <w:szCs w:val="24"/>
        </w:rPr>
        <w:t>and also</w:t>
      </w:r>
      <w:proofErr w:type="gramEnd"/>
      <w:r w:rsidRPr="3CCAAAAA">
        <w:rPr>
          <w:rFonts w:ascii="Verdana" w:eastAsia="Verdana" w:hAnsi="Verdana" w:cs="Verdana"/>
          <w:sz w:val="24"/>
          <w:szCs w:val="24"/>
        </w:rPr>
        <w:t xml:space="preserve"> assess causality and severity of the SAE.</w:t>
      </w:r>
      <w:r w:rsidR="009A0109" w:rsidRPr="3CCAAAAA">
        <w:rPr>
          <w:rFonts w:ascii="Verdana" w:eastAsia="Verdana" w:hAnsi="Verdana" w:cs="Verdana"/>
          <w:sz w:val="24"/>
          <w:szCs w:val="24"/>
        </w:rPr>
        <w:t xml:space="preserve"> It is good practice to have a sub-PI on the delegation log who can assess these events in case of annual leave, sickness etc.</w:t>
      </w:r>
    </w:p>
    <w:p w14:paraId="10364FFF" w14:textId="77777777" w:rsidR="003728E4" w:rsidRDefault="003728E4" w:rsidP="3CCAAAAA">
      <w:pPr>
        <w:pStyle w:val="Header"/>
        <w:jc w:val="both"/>
        <w:rPr>
          <w:rFonts w:ascii="Verdana" w:eastAsia="Verdana" w:hAnsi="Verdana" w:cs="Verdana"/>
          <w:sz w:val="24"/>
          <w:szCs w:val="24"/>
        </w:rPr>
      </w:pPr>
    </w:p>
    <w:p w14:paraId="4D94069B" w14:textId="30EA8A9F" w:rsidR="003728E4" w:rsidRDefault="003728E4" w:rsidP="3CCAAAAA">
      <w:pPr>
        <w:pStyle w:val="Header"/>
        <w:jc w:val="both"/>
        <w:rPr>
          <w:rFonts w:ascii="Verdana" w:eastAsia="Verdana" w:hAnsi="Verdana" w:cs="Verdana"/>
          <w:b/>
          <w:bCs/>
          <w:sz w:val="24"/>
          <w:szCs w:val="24"/>
        </w:rPr>
      </w:pPr>
      <w:r w:rsidRPr="3CCAAAAA">
        <w:rPr>
          <w:rFonts w:ascii="Verdana" w:eastAsia="Verdana" w:hAnsi="Verdana" w:cs="Verdana"/>
          <w:b/>
          <w:bCs/>
          <w:sz w:val="24"/>
          <w:szCs w:val="24"/>
        </w:rPr>
        <w:t>Causality Assessment:</w:t>
      </w:r>
    </w:p>
    <w:p w14:paraId="6CE872BD" w14:textId="77777777" w:rsidR="003728E4" w:rsidRDefault="003728E4" w:rsidP="3CCAAAAA">
      <w:pPr>
        <w:pStyle w:val="Header"/>
        <w:jc w:val="both"/>
        <w:rPr>
          <w:rFonts w:ascii="Verdana" w:eastAsia="Verdana" w:hAnsi="Verdana" w:cs="Verdana"/>
          <w:b/>
          <w:bCs/>
          <w:sz w:val="24"/>
          <w:szCs w:val="24"/>
        </w:rPr>
      </w:pPr>
    </w:p>
    <w:p w14:paraId="1D529D44" w14:textId="68B19B68" w:rsidR="003728E4" w:rsidRPr="003728E4" w:rsidRDefault="003728E4" w:rsidP="3CCAAAAA">
      <w:pPr>
        <w:pStyle w:val="Header"/>
        <w:jc w:val="both"/>
        <w:rPr>
          <w:rFonts w:ascii="Verdana" w:eastAsia="Verdana" w:hAnsi="Verdana" w:cs="Verdana"/>
          <w:sz w:val="24"/>
          <w:szCs w:val="24"/>
        </w:rPr>
      </w:pPr>
      <w:r w:rsidRPr="3CCAAAAA">
        <w:rPr>
          <w:rFonts w:ascii="Verdana" w:eastAsia="Verdana" w:hAnsi="Verdana" w:cs="Verdana"/>
          <w:sz w:val="24"/>
          <w:szCs w:val="24"/>
        </w:rPr>
        <w:t>1. Not related to device = SAE</w:t>
      </w:r>
    </w:p>
    <w:p w14:paraId="056808C2" w14:textId="117A1B7B" w:rsidR="003728E4" w:rsidRPr="003728E4" w:rsidRDefault="003728E4" w:rsidP="3CCAAAAA">
      <w:pPr>
        <w:pStyle w:val="Header"/>
        <w:jc w:val="both"/>
        <w:rPr>
          <w:rFonts w:ascii="Verdana" w:eastAsia="Verdana" w:hAnsi="Verdana" w:cs="Verdana"/>
          <w:sz w:val="24"/>
          <w:szCs w:val="24"/>
        </w:rPr>
      </w:pPr>
      <w:r w:rsidRPr="3CCAAAAA">
        <w:rPr>
          <w:rFonts w:ascii="Verdana" w:eastAsia="Verdana" w:hAnsi="Verdana" w:cs="Verdana"/>
          <w:sz w:val="24"/>
          <w:szCs w:val="24"/>
        </w:rPr>
        <w:t>2. Unlikely / Improbably related to device = SAE</w:t>
      </w:r>
    </w:p>
    <w:p w14:paraId="03249FCB" w14:textId="77777777" w:rsidR="003728E4" w:rsidRPr="003728E4" w:rsidRDefault="003728E4" w:rsidP="3CCAAAAA">
      <w:pPr>
        <w:pStyle w:val="Header"/>
        <w:jc w:val="both"/>
        <w:rPr>
          <w:rFonts w:ascii="Verdana" w:eastAsia="Verdana" w:hAnsi="Verdana" w:cs="Verdana"/>
          <w:sz w:val="24"/>
          <w:szCs w:val="24"/>
        </w:rPr>
      </w:pPr>
      <w:r w:rsidRPr="3CCAAAAA">
        <w:rPr>
          <w:rFonts w:ascii="Verdana" w:eastAsia="Verdana" w:hAnsi="Verdana" w:cs="Verdana"/>
          <w:sz w:val="24"/>
          <w:szCs w:val="24"/>
        </w:rPr>
        <w:t>3. Possibly related to device = (U)SADE serious adverse device effect</w:t>
      </w:r>
    </w:p>
    <w:p w14:paraId="2F12F3C2" w14:textId="77777777" w:rsidR="003728E4" w:rsidRPr="003728E4" w:rsidRDefault="003728E4" w:rsidP="3CCAAAAA">
      <w:pPr>
        <w:pStyle w:val="Header"/>
        <w:jc w:val="both"/>
        <w:rPr>
          <w:rFonts w:ascii="Verdana" w:eastAsia="Verdana" w:hAnsi="Verdana" w:cs="Verdana"/>
          <w:sz w:val="24"/>
          <w:szCs w:val="24"/>
        </w:rPr>
      </w:pPr>
      <w:r w:rsidRPr="3CCAAAAA">
        <w:rPr>
          <w:rFonts w:ascii="Verdana" w:eastAsia="Verdana" w:hAnsi="Verdana" w:cs="Verdana"/>
          <w:sz w:val="24"/>
          <w:szCs w:val="24"/>
        </w:rPr>
        <w:t>4. Probably related to device = (U)SADE serious adverse device effect</w:t>
      </w:r>
    </w:p>
    <w:p w14:paraId="463C50B9" w14:textId="051E181F" w:rsidR="003728E4" w:rsidRDefault="003728E4" w:rsidP="3CCAAAAA">
      <w:pPr>
        <w:pStyle w:val="Header"/>
        <w:jc w:val="both"/>
        <w:rPr>
          <w:rFonts w:ascii="Verdana" w:eastAsia="Verdana" w:hAnsi="Verdana" w:cs="Verdana"/>
          <w:sz w:val="24"/>
          <w:szCs w:val="24"/>
        </w:rPr>
      </w:pPr>
      <w:r w:rsidRPr="3CCAAAAA">
        <w:rPr>
          <w:rFonts w:ascii="Verdana" w:eastAsia="Verdana" w:hAnsi="Verdana" w:cs="Verdana"/>
          <w:sz w:val="24"/>
          <w:szCs w:val="24"/>
        </w:rPr>
        <w:t xml:space="preserve">5. </w:t>
      </w:r>
      <w:proofErr w:type="gramStart"/>
      <w:r w:rsidRPr="3CCAAAAA">
        <w:rPr>
          <w:rFonts w:ascii="Verdana" w:eastAsia="Verdana" w:hAnsi="Verdana" w:cs="Verdana"/>
          <w:sz w:val="24"/>
          <w:szCs w:val="24"/>
        </w:rPr>
        <w:t>Definitely related</w:t>
      </w:r>
      <w:proofErr w:type="gramEnd"/>
      <w:r w:rsidRPr="3CCAAAAA">
        <w:rPr>
          <w:rFonts w:ascii="Verdana" w:eastAsia="Verdana" w:hAnsi="Verdana" w:cs="Verdana"/>
          <w:sz w:val="24"/>
          <w:szCs w:val="24"/>
        </w:rPr>
        <w:t xml:space="preserve"> to device = (U)SADE serious adverse device effect</w:t>
      </w:r>
    </w:p>
    <w:p w14:paraId="1753AE0B" w14:textId="77777777" w:rsidR="003728E4" w:rsidRDefault="003728E4" w:rsidP="3CCAAAAA">
      <w:pPr>
        <w:pStyle w:val="Header"/>
        <w:jc w:val="both"/>
        <w:rPr>
          <w:rFonts w:ascii="Verdana" w:eastAsia="Verdana" w:hAnsi="Verdana" w:cs="Verdana"/>
          <w:sz w:val="24"/>
          <w:szCs w:val="24"/>
        </w:rPr>
      </w:pPr>
    </w:p>
    <w:p w14:paraId="5C39D741" w14:textId="7CACB530" w:rsidR="3CCAAAAA" w:rsidRDefault="3CCAAAAA" w:rsidP="3CCAAAAA">
      <w:pPr>
        <w:pStyle w:val="Header"/>
        <w:jc w:val="both"/>
        <w:rPr>
          <w:rFonts w:ascii="Verdana" w:eastAsia="Verdana" w:hAnsi="Verdana" w:cs="Verdana"/>
          <w:b/>
          <w:bCs/>
          <w:color w:val="FF0000"/>
          <w:sz w:val="24"/>
          <w:szCs w:val="24"/>
        </w:rPr>
      </w:pPr>
    </w:p>
    <w:p w14:paraId="7EAB98F9" w14:textId="03C1E57F" w:rsidR="003728E4" w:rsidRPr="00F0368D" w:rsidRDefault="003728E4" w:rsidP="3CCAAAAA">
      <w:pPr>
        <w:pStyle w:val="Header"/>
        <w:jc w:val="both"/>
        <w:rPr>
          <w:rFonts w:ascii="Verdana" w:eastAsia="Verdana" w:hAnsi="Verdana" w:cs="Verdana"/>
          <w:b/>
          <w:bCs/>
          <w:color w:val="FF0000"/>
          <w:sz w:val="24"/>
          <w:szCs w:val="24"/>
        </w:rPr>
      </w:pPr>
      <w:r w:rsidRPr="3CCAAAAA">
        <w:rPr>
          <w:rFonts w:ascii="Verdana" w:eastAsia="Verdana" w:hAnsi="Verdana" w:cs="Verdana"/>
          <w:b/>
          <w:bCs/>
          <w:color w:val="FF0000"/>
          <w:sz w:val="24"/>
          <w:szCs w:val="24"/>
        </w:rPr>
        <w:t xml:space="preserve">For SAEs that take place within the potential treatment period (days </w:t>
      </w:r>
      <w:r w:rsidR="0006004D" w:rsidRPr="3CCAAAAA">
        <w:rPr>
          <w:rFonts w:ascii="Verdana" w:eastAsia="Verdana" w:hAnsi="Verdana" w:cs="Verdana"/>
          <w:b/>
          <w:bCs/>
          <w:color w:val="FF0000"/>
          <w:sz w:val="24"/>
          <w:szCs w:val="24"/>
        </w:rPr>
        <w:t>1</w:t>
      </w:r>
      <w:r w:rsidRPr="3CCAAAAA">
        <w:rPr>
          <w:rFonts w:ascii="Verdana" w:eastAsia="Verdana" w:hAnsi="Verdana" w:cs="Verdana"/>
          <w:b/>
          <w:bCs/>
          <w:color w:val="FF0000"/>
          <w:sz w:val="24"/>
          <w:szCs w:val="24"/>
        </w:rPr>
        <w:t>-9), whether randomised to PES or not, they should be reported as</w:t>
      </w:r>
      <w:r w:rsidR="0006004D" w:rsidRPr="3CCAAAAA">
        <w:rPr>
          <w:rFonts w:ascii="Verdana" w:eastAsia="Verdana" w:hAnsi="Verdana" w:cs="Verdana"/>
          <w:b/>
          <w:bCs/>
          <w:color w:val="FF0000"/>
          <w:sz w:val="24"/>
          <w:szCs w:val="24"/>
        </w:rPr>
        <w:t xml:space="preserve"> at least</w:t>
      </w:r>
      <w:r w:rsidRPr="3CCAAAAA">
        <w:rPr>
          <w:rFonts w:ascii="Verdana" w:eastAsia="Verdana" w:hAnsi="Verdana" w:cs="Verdana"/>
          <w:b/>
          <w:bCs/>
          <w:color w:val="FF0000"/>
          <w:sz w:val="24"/>
          <w:szCs w:val="24"/>
        </w:rPr>
        <w:t xml:space="preserve"> unlikely </w:t>
      </w:r>
      <w:proofErr w:type="gramStart"/>
      <w:r w:rsidRPr="3CCAAAAA">
        <w:rPr>
          <w:rFonts w:ascii="Verdana" w:eastAsia="Verdana" w:hAnsi="Verdana" w:cs="Verdana"/>
          <w:b/>
          <w:bCs/>
          <w:color w:val="FF0000"/>
          <w:sz w:val="24"/>
          <w:szCs w:val="24"/>
        </w:rPr>
        <w:t>in order to</w:t>
      </w:r>
      <w:proofErr w:type="gramEnd"/>
      <w:r w:rsidRPr="3CCAAAAA">
        <w:rPr>
          <w:rFonts w:ascii="Verdana" w:eastAsia="Verdana" w:hAnsi="Verdana" w:cs="Verdana"/>
          <w:b/>
          <w:bCs/>
          <w:color w:val="FF0000"/>
          <w:sz w:val="24"/>
          <w:szCs w:val="24"/>
        </w:rPr>
        <w:t xml:space="preserve"> keep the SAE adjudicators blinded</w:t>
      </w:r>
      <w:r w:rsidR="00553BB2" w:rsidRPr="3CCAAAAA">
        <w:rPr>
          <w:rFonts w:ascii="Verdana" w:eastAsia="Verdana" w:hAnsi="Verdana" w:cs="Verdana"/>
          <w:b/>
          <w:bCs/>
          <w:color w:val="FF0000"/>
          <w:sz w:val="24"/>
          <w:szCs w:val="24"/>
        </w:rPr>
        <w:t>.</w:t>
      </w:r>
    </w:p>
    <w:p w14:paraId="3F76C588" w14:textId="77777777" w:rsidR="003728E4" w:rsidRPr="00F0368D" w:rsidRDefault="003728E4" w:rsidP="3CCAAAAA">
      <w:pPr>
        <w:pStyle w:val="Header"/>
        <w:jc w:val="both"/>
        <w:rPr>
          <w:rFonts w:ascii="Verdana" w:eastAsia="Verdana" w:hAnsi="Verdana" w:cs="Verdana"/>
          <w:b/>
          <w:bCs/>
          <w:color w:val="FF0000"/>
          <w:sz w:val="24"/>
          <w:szCs w:val="24"/>
        </w:rPr>
      </w:pPr>
    </w:p>
    <w:p w14:paraId="60BF5F89" w14:textId="390C4410" w:rsidR="003728E4" w:rsidRPr="00F0368D" w:rsidRDefault="003728E4" w:rsidP="3CCAAAAA">
      <w:pPr>
        <w:pStyle w:val="Header"/>
        <w:jc w:val="both"/>
        <w:rPr>
          <w:rFonts w:ascii="Verdana" w:eastAsia="Verdana" w:hAnsi="Verdana" w:cs="Verdana"/>
          <w:b/>
          <w:bCs/>
          <w:color w:val="FF0000"/>
          <w:sz w:val="24"/>
          <w:szCs w:val="24"/>
        </w:rPr>
      </w:pPr>
      <w:r w:rsidRPr="3CCAAAAA">
        <w:rPr>
          <w:rFonts w:ascii="Verdana" w:eastAsia="Verdana" w:hAnsi="Verdana" w:cs="Verdana"/>
          <w:b/>
          <w:bCs/>
          <w:color w:val="FF0000"/>
          <w:sz w:val="24"/>
          <w:szCs w:val="24"/>
        </w:rPr>
        <w:lastRenderedPageBreak/>
        <w:t>This is for any SAE that could be related to the device / treatment (whether they have received this or not).</w:t>
      </w:r>
      <w:r w:rsidR="009A0109" w:rsidRPr="3CCAAAAA">
        <w:rPr>
          <w:rFonts w:ascii="Verdana" w:eastAsia="Verdana" w:hAnsi="Verdana" w:cs="Verdana"/>
          <w:b/>
          <w:bCs/>
          <w:color w:val="FF0000"/>
          <w:sz w:val="24"/>
          <w:szCs w:val="24"/>
        </w:rPr>
        <w:t xml:space="preserve"> </w:t>
      </w:r>
    </w:p>
    <w:p w14:paraId="2365CE45" w14:textId="7BCA829D" w:rsidR="00F65AFF" w:rsidRPr="006A5A8B" w:rsidRDefault="00F65AFF" w:rsidP="006A5A8B">
      <w:pPr>
        <w:ind w:left="360"/>
        <w:rPr>
          <w:sz w:val="24"/>
          <w:szCs w:val="24"/>
        </w:rPr>
      </w:pPr>
    </w:p>
    <w:sectPr w:rsidR="00F65AFF" w:rsidRPr="006A5A8B" w:rsidSect="00CE4C8D">
      <w:headerReference w:type="default" r:id="rId11"/>
      <w:footerReference w:type="defaul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3049A" w14:textId="77777777" w:rsidR="007D507B" w:rsidRDefault="007D507B" w:rsidP="00BB43A7">
      <w:pPr>
        <w:spacing w:after="0" w:line="240" w:lineRule="auto"/>
      </w:pPr>
      <w:r>
        <w:separator/>
      </w:r>
    </w:p>
  </w:endnote>
  <w:endnote w:type="continuationSeparator" w:id="0">
    <w:p w14:paraId="52CE3E4D" w14:textId="77777777" w:rsidR="007D507B" w:rsidRDefault="007D507B" w:rsidP="00BB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C82B6" w14:textId="73698AAA" w:rsidR="00BB43A7" w:rsidRPr="001D7AC3" w:rsidRDefault="3CCAAAAA" w:rsidP="001975A0">
    <w:pPr>
      <w:pStyle w:val="Header"/>
      <w:rPr>
        <w:sz w:val="18"/>
        <w:szCs w:val="18"/>
      </w:rPr>
    </w:pPr>
    <w:proofErr w:type="spellStart"/>
    <w:r w:rsidRPr="3CCAAAAA">
      <w:rPr>
        <w:sz w:val="18"/>
        <w:szCs w:val="18"/>
      </w:rPr>
      <w:t>PhEAST</w:t>
    </w:r>
    <w:proofErr w:type="spellEnd"/>
    <w:r w:rsidRPr="3CCAAAAA">
      <w:rPr>
        <w:sz w:val="18"/>
        <w:szCs w:val="18"/>
      </w:rPr>
      <w:t xml:space="preserve"> Working Practice Document 01</w:t>
    </w:r>
    <w:r w:rsidR="0096129C">
      <w:rPr>
        <w:sz w:val="18"/>
        <w:szCs w:val="18"/>
      </w:rPr>
      <w:t>3</w:t>
    </w:r>
    <w:r w:rsidRPr="3CCAAAAA">
      <w:rPr>
        <w:sz w:val="18"/>
        <w:szCs w:val="18"/>
      </w:rPr>
      <w:t xml:space="preserve"> SAE Reporting V2.0 20241212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DE06C" w14:textId="77777777" w:rsidR="007D507B" w:rsidRDefault="007D507B" w:rsidP="00BB43A7">
      <w:pPr>
        <w:spacing w:after="0" w:line="240" w:lineRule="auto"/>
      </w:pPr>
      <w:r>
        <w:separator/>
      </w:r>
    </w:p>
  </w:footnote>
  <w:footnote w:type="continuationSeparator" w:id="0">
    <w:p w14:paraId="10877777" w14:textId="77777777" w:rsidR="007D507B" w:rsidRDefault="007D507B" w:rsidP="00BB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1861B" w14:textId="69151B51" w:rsidR="00642EC3" w:rsidRPr="00642EC3" w:rsidRDefault="00F45E15" w:rsidP="00642E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69C5E045" wp14:editId="79431D05">
          <wp:simplePos x="0" y="0"/>
          <wp:positionH relativeFrom="column">
            <wp:posOffset>-647700</wp:posOffset>
          </wp:positionH>
          <wp:positionV relativeFrom="paragraph">
            <wp:posOffset>-430530</wp:posOffset>
          </wp:positionV>
          <wp:extent cx="1028844" cy="895475"/>
          <wp:effectExtent l="0" t="0" r="0" b="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8844" cy="895475"/>
                  </a:xfrm>
                  <a:prstGeom prst="rect">
                    <a:avLst/>
                  </a:prstGeom>
                </pic:spPr>
              </pic:pic>
            </a:graphicData>
          </a:graphic>
          <wp14:sizeRelH relativeFrom="page">
            <wp14:pctWidth>0</wp14:pctWidth>
          </wp14:sizeRelH>
          <wp14:sizeRelV relativeFrom="page">
            <wp14:pctHeight>0</wp14:pctHeight>
          </wp14:sizeRelV>
        </wp:anchor>
      </w:drawing>
    </w:r>
  </w:p>
  <w:p w14:paraId="0865CDBD" w14:textId="4EF16E4D" w:rsidR="00BB43A7" w:rsidRPr="00C671A2" w:rsidRDefault="00C671A2" w:rsidP="00C671A2">
    <w:pPr>
      <w:widowControl w:val="0"/>
      <w:autoSpaceDE w:val="0"/>
      <w:autoSpaceDN w:val="0"/>
      <w:adjustRightInd w:val="0"/>
      <w:rPr>
        <w:rFonts w:ascii="Arial" w:hAnsi="Arial" w:cs="Arial"/>
        <w:sz w:val="20"/>
        <w:szCs w:val="20"/>
        <w:lang w:val="en-US"/>
      </w:rPr>
    </w:pPr>
    <w:r>
      <w:t xml:space="preserve">                                                                    </w:t>
    </w:r>
    <w:r w:rsidR="00642EC3">
      <w:tab/>
    </w:r>
    <w:r w:rsidR="00642EC3">
      <w:tab/>
    </w:r>
    <w:r w:rsidR="00642EC3">
      <w:tab/>
    </w:r>
    <w:r w:rsidR="00642EC3">
      <w:tab/>
    </w:r>
    <w:r w:rsidR="00642EC3">
      <w:tab/>
    </w:r>
    <w:r>
      <w:t xml:space="preserve"> </w:t>
    </w:r>
    <w:r>
      <w:rPr>
        <w:rFonts w:ascii="Arial" w:hAnsi="Arial" w:cs="Arial"/>
        <w:sz w:val="20"/>
        <w:szCs w:val="20"/>
        <w:lang w:val="en-US"/>
      </w:rPr>
      <w:t>ISRCTN</w:t>
    </w:r>
    <w:r w:rsidR="00642EC3" w:rsidRPr="00642EC3">
      <w:rPr>
        <w:rFonts w:ascii="Arial" w:hAnsi="Arial" w:cs="Arial"/>
        <w:sz w:val="20"/>
        <w:szCs w:val="20"/>
        <w:lang w:val="en-US"/>
      </w:rPr>
      <w:t>98886991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4CA4"/>
    <w:multiLevelType w:val="hybridMultilevel"/>
    <w:tmpl w:val="D8C6E014"/>
    <w:lvl w:ilvl="0" w:tplc="F614EE3E">
      <w:start w:val="1"/>
      <w:numFmt w:val="bullet"/>
      <w:lvlText w:val=""/>
      <w:lvlJc w:val="left"/>
      <w:pPr>
        <w:tabs>
          <w:tab w:val="num" w:pos="720"/>
        </w:tabs>
        <w:ind w:left="720" w:hanging="360"/>
      </w:pPr>
      <w:rPr>
        <w:rFonts w:ascii="Wingdings 3" w:hAnsi="Wingdings 3" w:hint="default"/>
      </w:rPr>
    </w:lvl>
    <w:lvl w:ilvl="1" w:tplc="4140C318" w:tentative="1">
      <w:start w:val="1"/>
      <w:numFmt w:val="bullet"/>
      <w:lvlText w:val=""/>
      <w:lvlJc w:val="left"/>
      <w:pPr>
        <w:tabs>
          <w:tab w:val="num" w:pos="1440"/>
        </w:tabs>
        <w:ind w:left="1440" w:hanging="360"/>
      </w:pPr>
      <w:rPr>
        <w:rFonts w:ascii="Wingdings 3" w:hAnsi="Wingdings 3" w:hint="default"/>
      </w:rPr>
    </w:lvl>
    <w:lvl w:ilvl="2" w:tplc="11F421BC" w:tentative="1">
      <w:start w:val="1"/>
      <w:numFmt w:val="bullet"/>
      <w:lvlText w:val=""/>
      <w:lvlJc w:val="left"/>
      <w:pPr>
        <w:tabs>
          <w:tab w:val="num" w:pos="2160"/>
        </w:tabs>
        <w:ind w:left="2160" w:hanging="360"/>
      </w:pPr>
      <w:rPr>
        <w:rFonts w:ascii="Wingdings 3" w:hAnsi="Wingdings 3" w:hint="default"/>
      </w:rPr>
    </w:lvl>
    <w:lvl w:ilvl="3" w:tplc="95404BB6" w:tentative="1">
      <w:start w:val="1"/>
      <w:numFmt w:val="bullet"/>
      <w:lvlText w:val=""/>
      <w:lvlJc w:val="left"/>
      <w:pPr>
        <w:tabs>
          <w:tab w:val="num" w:pos="2880"/>
        </w:tabs>
        <w:ind w:left="2880" w:hanging="360"/>
      </w:pPr>
      <w:rPr>
        <w:rFonts w:ascii="Wingdings 3" w:hAnsi="Wingdings 3" w:hint="default"/>
      </w:rPr>
    </w:lvl>
    <w:lvl w:ilvl="4" w:tplc="E9644524" w:tentative="1">
      <w:start w:val="1"/>
      <w:numFmt w:val="bullet"/>
      <w:lvlText w:val=""/>
      <w:lvlJc w:val="left"/>
      <w:pPr>
        <w:tabs>
          <w:tab w:val="num" w:pos="3600"/>
        </w:tabs>
        <w:ind w:left="3600" w:hanging="360"/>
      </w:pPr>
      <w:rPr>
        <w:rFonts w:ascii="Wingdings 3" w:hAnsi="Wingdings 3" w:hint="default"/>
      </w:rPr>
    </w:lvl>
    <w:lvl w:ilvl="5" w:tplc="DD14F9F0" w:tentative="1">
      <w:start w:val="1"/>
      <w:numFmt w:val="bullet"/>
      <w:lvlText w:val=""/>
      <w:lvlJc w:val="left"/>
      <w:pPr>
        <w:tabs>
          <w:tab w:val="num" w:pos="4320"/>
        </w:tabs>
        <w:ind w:left="4320" w:hanging="360"/>
      </w:pPr>
      <w:rPr>
        <w:rFonts w:ascii="Wingdings 3" w:hAnsi="Wingdings 3" w:hint="default"/>
      </w:rPr>
    </w:lvl>
    <w:lvl w:ilvl="6" w:tplc="1B607704" w:tentative="1">
      <w:start w:val="1"/>
      <w:numFmt w:val="bullet"/>
      <w:lvlText w:val=""/>
      <w:lvlJc w:val="left"/>
      <w:pPr>
        <w:tabs>
          <w:tab w:val="num" w:pos="5040"/>
        </w:tabs>
        <w:ind w:left="5040" w:hanging="360"/>
      </w:pPr>
      <w:rPr>
        <w:rFonts w:ascii="Wingdings 3" w:hAnsi="Wingdings 3" w:hint="default"/>
      </w:rPr>
    </w:lvl>
    <w:lvl w:ilvl="7" w:tplc="368AD544" w:tentative="1">
      <w:start w:val="1"/>
      <w:numFmt w:val="bullet"/>
      <w:lvlText w:val=""/>
      <w:lvlJc w:val="left"/>
      <w:pPr>
        <w:tabs>
          <w:tab w:val="num" w:pos="5760"/>
        </w:tabs>
        <w:ind w:left="5760" w:hanging="360"/>
      </w:pPr>
      <w:rPr>
        <w:rFonts w:ascii="Wingdings 3" w:hAnsi="Wingdings 3" w:hint="default"/>
      </w:rPr>
    </w:lvl>
    <w:lvl w:ilvl="8" w:tplc="15C6BB1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AA46B8"/>
    <w:multiLevelType w:val="hybridMultilevel"/>
    <w:tmpl w:val="297863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701369"/>
    <w:multiLevelType w:val="hybridMultilevel"/>
    <w:tmpl w:val="0D84E5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B206B9D"/>
    <w:multiLevelType w:val="hybridMultilevel"/>
    <w:tmpl w:val="5C663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06376D"/>
    <w:multiLevelType w:val="hybridMultilevel"/>
    <w:tmpl w:val="E684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D2A93"/>
    <w:multiLevelType w:val="hybridMultilevel"/>
    <w:tmpl w:val="F6EE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82793F"/>
    <w:multiLevelType w:val="hybridMultilevel"/>
    <w:tmpl w:val="4C281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6A2D1B"/>
    <w:multiLevelType w:val="hybridMultilevel"/>
    <w:tmpl w:val="7464C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706556">
    <w:abstractNumId w:val="2"/>
  </w:num>
  <w:num w:numId="2" w16cid:durableId="867109359">
    <w:abstractNumId w:val="7"/>
  </w:num>
  <w:num w:numId="3" w16cid:durableId="149834940">
    <w:abstractNumId w:val="0"/>
  </w:num>
  <w:num w:numId="4" w16cid:durableId="966351581">
    <w:abstractNumId w:val="1"/>
  </w:num>
  <w:num w:numId="5" w16cid:durableId="1344287425">
    <w:abstractNumId w:val="5"/>
  </w:num>
  <w:num w:numId="6" w16cid:durableId="762996193">
    <w:abstractNumId w:val="3"/>
  </w:num>
  <w:num w:numId="7" w16cid:durableId="1628966378">
    <w:abstractNumId w:val="6"/>
  </w:num>
  <w:num w:numId="8" w16cid:durableId="1371686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A7"/>
    <w:rsid w:val="00013E23"/>
    <w:rsid w:val="00041883"/>
    <w:rsid w:val="0006004D"/>
    <w:rsid w:val="000721F7"/>
    <w:rsid w:val="00072E05"/>
    <w:rsid w:val="000C594D"/>
    <w:rsid w:val="000C6130"/>
    <w:rsid w:val="000D553C"/>
    <w:rsid w:val="000E1849"/>
    <w:rsid w:val="00100245"/>
    <w:rsid w:val="001052B8"/>
    <w:rsid w:val="00112C30"/>
    <w:rsid w:val="00122FC1"/>
    <w:rsid w:val="00123C4F"/>
    <w:rsid w:val="0015773B"/>
    <w:rsid w:val="001677E8"/>
    <w:rsid w:val="0017471C"/>
    <w:rsid w:val="0019671D"/>
    <w:rsid w:val="001975A0"/>
    <w:rsid w:val="001A065A"/>
    <w:rsid w:val="001A4F05"/>
    <w:rsid w:val="001B0A5E"/>
    <w:rsid w:val="001B17F4"/>
    <w:rsid w:val="001B309E"/>
    <w:rsid w:val="001D34CF"/>
    <w:rsid w:val="001D4DB3"/>
    <w:rsid w:val="001D7AC3"/>
    <w:rsid w:val="001E3F5E"/>
    <w:rsid w:val="001F302E"/>
    <w:rsid w:val="001F31F9"/>
    <w:rsid w:val="001F33DD"/>
    <w:rsid w:val="002228D8"/>
    <w:rsid w:val="0024268C"/>
    <w:rsid w:val="00243468"/>
    <w:rsid w:val="002437F6"/>
    <w:rsid w:val="00270CD5"/>
    <w:rsid w:val="002853A0"/>
    <w:rsid w:val="00291907"/>
    <w:rsid w:val="002B184B"/>
    <w:rsid w:val="00304610"/>
    <w:rsid w:val="00312E3E"/>
    <w:rsid w:val="003163C1"/>
    <w:rsid w:val="003377C5"/>
    <w:rsid w:val="0034794F"/>
    <w:rsid w:val="00350F32"/>
    <w:rsid w:val="0036172B"/>
    <w:rsid w:val="003728E4"/>
    <w:rsid w:val="00375835"/>
    <w:rsid w:val="003858E9"/>
    <w:rsid w:val="003A7AA4"/>
    <w:rsid w:val="003E0021"/>
    <w:rsid w:val="003F23E4"/>
    <w:rsid w:val="00436486"/>
    <w:rsid w:val="004709B9"/>
    <w:rsid w:val="00480EF5"/>
    <w:rsid w:val="004B0500"/>
    <w:rsid w:val="004E1EFA"/>
    <w:rsid w:val="00504E18"/>
    <w:rsid w:val="005100BB"/>
    <w:rsid w:val="00523D2C"/>
    <w:rsid w:val="00524787"/>
    <w:rsid w:val="00525AA7"/>
    <w:rsid w:val="00537EF7"/>
    <w:rsid w:val="00545E63"/>
    <w:rsid w:val="00553BB2"/>
    <w:rsid w:val="00562D9C"/>
    <w:rsid w:val="00596FB7"/>
    <w:rsid w:val="005B5ED9"/>
    <w:rsid w:val="00642EC3"/>
    <w:rsid w:val="00650038"/>
    <w:rsid w:val="006629C5"/>
    <w:rsid w:val="0066763B"/>
    <w:rsid w:val="006A5A8B"/>
    <w:rsid w:val="006B41E8"/>
    <w:rsid w:val="006E4772"/>
    <w:rsid w:val="006F096E"/>
    <w:rsid w:val="007012B8"/>
    <w:rsid w:val="00717673"/>
    <w:rsid w:val="007262D4"/>
    <w:rsid w:val="00727094"/>
    <w:rsid w:val="00736675"/>
    <w:rsid w:val="007447F4"/>
    <w:rsid w:val="0075399E"/>
    <w:rsid w:val="0077058A"/>
    <w:rsid w:val="00772808"/>
    <w:rsid w:val="00780089"/>
    <w:rsid w:val="007811A1"/>
    <w:rsid w:val="00784959"/>
    <w:rsid w:val="0078636C"/>
    <w:rsid w:val="007921F2"/>
    <w:rsid w:val="00792EB0"/>
    <w:rsid w:val="00792EBD"/>
    <w:rsid w:val="007A5F60"/>
    <w:rsid w:val="007B7794"/>
    <w:rsid w:val="007D507B"/>
    <w:rsid w:val="00804657"/>
    <w:rsid w:val="00836612"/>
    <w:rsid w:val="008367CF"/>
    <w:rsid w:val="00847E36"/>
    <w:rsid w:val="00857012"/>
    <w:rsid w:val="00857F3F"/>
    <w:rsid w:val="008779E1"/>
    <w:rsid w:val="0088091D"/>
    <w:rsid w:val="008A1FAF"/>
    <w:rsid w:val="008A4974"/>
    <w:rsid w:val="008B6D69"/>
    <w:rsid w:val="008C04DB"/>
    <w:rsid w:val="008D66AE"/>
    <w:rsid w:val="00907173"/>
    <w:rsid w:val="00922858"/>
    <w:rsid w:val="0093492E"/>
    <w:rsid w:val="00941598"/>
    <w:rsid w:val="00943318"/>
    <w:rsid w:val="00960F1E"/>
    <w:rsid w:val="0096129C"/>
    <w:rsid w:val="009A0109"/>
    <w:rsid w:val="009A06CE"/>
    <w:rsid w:val="009A3291"/>
    <w:rsid w:val="009D0922"/>
    <w:rsid w:val="009D3127"/>
    <w:rsid w:val="009F2B55"/>
    <w:rsid w:val="00A1072B"/>
    <w:rsid w:val="00A11E5A"/>
    <w:rsid w:val="00A17F23"/>
    <w:rsid w:val="00A42501"/>
    <w:rsid w:val="00A441AA"/>
    <w:rsid w:val="00A44A35"/>
    <w:rsid w:val="00A52D6F"/>
    <w:rsid w:val="00A73C77"/>
    <w:rsid w:val="00A83934"/>
    <w:rsid w:val="00A9247D"/>
    <w:rsid w:val="00AA4D42"/>
    <w:rsid w:val="00AB25C2"/>
    <w:rsid w:val="00AC6527"/>
    <w:rsid w:val="00AE5434"/>
    <w:rsid w:val="00AF143B"/>
    <w:rsid w:val="00B3099F"/>
    <w:rsid w:val="00B363C4"/>
    <w:rsid w:val="00B50B9B"/>
    <w:rsid w:val="00B55CC0"/>
    <w:rsid w:val="00B63814"/>
    <w:rsid w:val="00BB02CA"/>
    <w:rsid w:val="00BB1961"/>
    <w:rsid w:val="00BB43A7"/>
    <w:rsid w:val="00BB7B4D"/>
    <w:rsid w:val="00BD42E9"/>
    <w:rsid w:val="00BE011D"/>
    <w:rsid w:val="00C24D94"/>
    <w:rsid w:val="00C671A2"/>
    <w:rsid w:val="00C71F31"/>
    <w:rsid w:val="00C854A8"/>
    <w:rsid w:val="00CB32A1"/>
    <w:rsid w:val="00CE4C8D"/>
    <w:rsid w:val="00CF227D"/>
    <w:rsid w:val="00CF7F12"/>
    <w:rsid w:val="00D048A4"/>
    <w:rsid w:val="00D453D5"/>
    <w:rsid w:val="00D474A1"/>
    <w:rsid w:val="00D71DAF"/>
    <w:rsid w:val="00D97555"/>
    <w:rsid w:val="00DA33BA"/>
    <w:rsid w:val="00DA6045"/>
    <w:rsid w:val="00DA6667"/>
    <w:rsid w:val="00DB2C29"/>
    <w:rsid w:val="00DB3374"/>
    <w:rsid w:val="00DB74C1"/>
    <w:rsid w:val="00DC5F19"/>
    <w:rsid w:val="00DC6A19"/>
    <w:rsid w:val="00DD4FCF"/>
    <w:rsid w:val="00DE0346"/>
    <w:rsid w:val="00DE3965"/>
    <w:rsid w:val="00DF4BB8"/>
    <w:rsid w:val="00DF5230"/>
    <w:rsid w:val="00E444EF"/>
    <w:rsid w:val="00E55415"/>
    <w:rsid w:val="00E73322"/>
    <w:rsid w:val="00E73536"/>
    <w:rsid w:val="00E84833"/>
    <w:rsid w:val="00E85DEB"/>
    <w:rsid w:val="00E9610F"/>
    <w:rsid w:val="00EA6C8A"/>
    <w:rsid w:val="00EC3228"/>
    <w:rsid w:val="00ED2506"/>
    <w:rsid w:val="00ED596E"/>
    <w:rsid w:val="00EF4A3F"/>
    <w:rsid w:val="00EF64F3"/>
    <w:rsid w:val="00F0368D"/>
    <w:rsid w:val="00F125C8"/>
    <w:rsid w:val="00F14722"/>
    <w:rsid w:val="00F307B3"/>
    <w:rsid w:val="00F30A8C"/>
    <w:rsid w:val="00F35FE7"/>
    <w:rsid w:val="00F45E15"/>
    <w:rsid w:val="00F51DF4"/>
    <w:rsid w:val="00F56238"/>
    <w:rsid w:val="00F65AFF"/>
    <w:rsid w:val="00F7219E"/>
    <w:rsid w:val="00F82FB2"/>
    <w:rsid w:val="00F8538E"/>
    <w:rsid w:val="00FA28D5"/>
    <w:rsid w:val="00FA312D"/>
    <w:rsid w:val="00FB5691"/>
    <w:rsid w:val="1B2A590A"/>
    <w:rsid w:val="3115B4EE"/>
    <w:rsid w:val="36CF6AD7"/>
    <w:rsid w:val="3CCAAAAA"/>
    <w:rsid w:val="47CD44E9"/>
    <w:rsid w:val="48BDE3A0"/>
    <w:rsid w:val="52709D92"/>
    <w:rsid w:val="5414AFD9"/>
    <w:rsid w:val="75BA97BF"/>
    <w:rsid w:val="79227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E9811"/>
  <w15:chartTrackingRefBased/>
  <w15:docId w15:val="{125B14F7-7E0C-4256-863E-CEDB952B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3A7"/>
  </w:style>
  <w:style w:type="paragraph" w:styleId="Footer">
    <w:name w:val="footer"/>
    <w:basedOn w:val="Normal"/>
    <w:link w:val="FooterChar"/>
    <w:uiPriority w:val="99"/>
    <w:unhideWhenUsed/>
    <w:rsid w:val="00BB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3A7"/>
  </w:style>
  <w:style w:type="paragraph" w:styleId="BalloonText">
    <w:name w:val="Balloon Text"/>
    <w:basedOn w:val="Normal"/>
    <w:link w:val="BalloonTextChar"/>
    <w:uiPriority w:val="99"/>
    <w:semiHidden/>
    <w:unhideWhenUsed/>
    <w:rsid w:val="00596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FB7"/>
    <w:rPr>
      <w:rFonts w:ascii="Segoe UI" w:hAnsi="Segoe UI" w:cs="Segoe UI"/>
      <w:sz w:val="18"/>
      <w:szCs w:val="18"/>
    </w:rPr>
  </w:style>
  <w:style w:type="character" w:customStyle="1" w:styleId="mark328ky5esy">
    <w:name w:val="mark328ky5esy"/>
    <w:basedOn w:val="DefaultParagraphFont"/>
    <w:rsid w:val="00CF227D"/>
  </w:style>
  <w:style w:type="character" w:styleId="Hyperlink">
    <w:name w:val="Hyperlink"/>
    <w:basedOn w:val="DefaultParagraphFont"/>
    <w:uiPriority w:val="99"/>
    <w:unhideWhenUsed/>
    <w:rsid w:val="00CF227D"/>
    <w:rPr>
      <w:color w:val="0563C1" w:themeColor="hyperlink"/>
      <w:u w:val="single"/>
    </w:rPr>
  </w:style>
  <w:style w:type="character" w:styleId="UnresolvedMention">
    <w:name w:val="Unresolved Mention"/>
    <w:basedOn w:val="DefaultParagraphFont"/>
    <w:uiPriority w:val="99"/>
    <w:semiHidden/>
    <w:unhideWhenUsed/>
    <w:rsid w:val="00CF227D"/>
    <w:rPr>
      <w:color w:val="605E5C"/>
      <w:shd w:val="clear" w:color="auto" w:fill="E1DFDD"/>
    </w:rPr>
  </w:style>
  <w:style w:type="paragraph" w:styleId="ListParagraph">
    <w:name w:val="List Paragraph"/>
    <w:basedOn w:val="Normal"/>
    <w:uiPriority w:val="34"/>
    <w:qFormat/>
    <w:rsid w:val="0077058A"/>
    <w:pPr>
      <w:ind w:left="720"/>
      <w:contextualSpacing/>
    </w:pPr>
  </w:style>
  <w:style w:type="character" w:styleId="CommentReference">
    <w:name w:val="annotation reference"/>
    <w:basedOn w:val="DefaultParagraphFont"/>
    <w:uiPriority w:val="99"/>
    <w:semiHidden/>
    <w:unhideWhenUsed/>
    <w:rsid w:val="00EC3228"/>
    <w:rPr>
      <w:sz w:val="16"/>
      <w:szCs w:val="16"/>
    </w:rPr>
  </w:style>
  <w:style w:type="paragraph" w:styleId="CommentText">
    <w:name w:val="annotation text"/>
    <w:basedOn w:val="Normal"/>
    <w:link w:val="CommentTextChar"/>
    <w:uiPriority w:val="99"/>
    <w:unhideWhenUsed/>
    <w:rsid w:val="00EC3228"/>
    <w:pPr>
      <w:spacing w:line="240" w:lineRule="auto"/>
    </w:pPr>
    <w:rPr>
      <w:sz w:val="20"/>
      <w:szCs w:val="20"/>
    </w:rPr>
  </w:style>
  <w:style w:type="character" w:customStyle="1" w:styleId="CommentTextChar">
    <w:name w:val="Comment Text Char"/>
    <w:basedOn w:val="DefaultParagraphFont"/>
    <w:link w:val="CommentText"/>
    <w:uiPriority w:val="99"/>
    <w:rsid w:val="00EC3228"/>
    <w:rPr>
      <w:sz w:val="20"/>
      <w:szCs w:val="20"/>
    </w:rPr>
  </w:style>
  <w:style w:type="paragraph" w:styleId="CommentSubject">
    <w:name w:val="annotation subject"/>
    <w:basedOn w:val="CommentText"/>
    <w:next w:val="CommentText"/>
    <w:link w:val="CommentSubjectChar"/>
    <w:uiPriority w:val="99"/>
    <w:semiHidden/>
    <w:unhideWhenUsed/>
    <w:rsid w:val="00EC3228"/>
    <w:rPr>
      <w:b/>
      <w:bCs/>
    </w:rPr>
  </w:style>
  <w:style w:type="character" w:customStyle="1" w:styleId="CommentSubjectChar">
    <w:name w:val="Comment Subject Char"/>
    <w:basedOn w:val="CommentTextChar"/>
    <w:link w:val="CommentSubject"/>
    <w:uiPriority w:val="99"/>
    <w:semiHidden/>
    <w:rsid w:val="00EC3228"/>
    <w:rPr>
      <w:b/>
      <w:bCs/>
      <w:sz w:val="20"/>
      <w:szCs w:val="20"/>
    </w:rPr>
  </w:style>
  <w:style w:type="paragraph" w:styleId="Revision">
    <w:name w:val="Revision"/>
    <w:hidden/>
    <w:uiPriority w:val="99"/>
    <w:semiHidden/>
    <w:rsid w:val="007012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28667">
      <w:bodyDiv w:val="1"/>
      <w:marLeft w:val="0"/>
      <w:marRight w:val="0"/>
      <w:marTop w:val="0"/>
      <w:marBottom w:val="0"/>
      <w:divBdr>
        <w:top w:val="none" w:sz="0" w:space="0" w:color="auto"/>
        <w:left w:val="none" w:sz="0" w:space="0" w:color="auto"/>
        <w:bottom w:val="none" w:sz="0" w:space="0" w:color="auto"/>
        <w:right w:val="none" w:sz="0" w:space="0" w:color="auto"/>
      </w:divBdr>
    </w:div>
    <w:div w:id="462583286">
      <w:bodyDiv w:val="1"/>
      <w:marLeft w:val="0"/>
      <w:marRight w:val="0"/>
      <w:marTop w:val="0"/>
      <w:marBottom w:val="0"/>
      <w:divBdr>
        <w:top w:val="none" w:sz="0" w:space="0" w:color="auto"/>
        <w:left w:val="none" w:sz="0" w:space="0" w:color="auto"/>
        <w:bottom w:val="none" w:sz="0" w:space="0" w:color="auto"/>
        <w:right w:val="none" w:sz="0" w:space="0" w:color="auto"/>
      </w:divBdr>
      <w:divsChild>
        <w:div w:id="1795253659">
          <w:marLeft w:val="0"/>
          <w:marRight w:val="0"/>
          <w:marTop w:val="0"/>
          <w:marBottom w:val="0"/>
          <w:divBdr>
            <w:top w:val="none" w:sz="0" w:space="0" w:color="auto"/>
            <w:left w:val="none" w:sz="0" w:space="0" w:color="auto"/>
            <w:bottom w:val="none" w:sz="0" w:space="0" w:color="auto"/>
            <w:right w:val="none" w:sz="0" w:space="0" w:color="auto"/>
          </w:divBdr>
          <w:divsChild>
            <w:div w:id="40180986">
              <w:marLeft w:val="0"/>
              <w:marRight w:val="0"/>
              <w:marTop w:val="0"/>
              <w:marBottom w:val="0"/>
              <w:divBdr>
                <w:top w:val="none" w:sz="0" w:space="0" w:color="auto"/>
                <w:left w:val="none" w:sz="0" w:space="0" w:color="auto"/>
                <w:bottom w:val="none" w:sz="0" w:space="0" w:color="auto"/>
                <w:right w:val="none" w:sz="0" w:space="0" w:color="auto"/>
              </w:divBdr>
            </w:div>
            <w:div w:id="1535919759">
              <w:marLeft w:val="0"/>
              <w:marRight w:val="0"/>
              <w:marTop w:val="0"/>
              <w:marBottom w:val="0"/>
              <w:divBdr>
                <w:top w:val="none" w:sz="0" w:space="0" w:color="auto"/>
                <w:left w:val="none" w:sz="0" w:space="0" w:color="auto"/>
                <w:bottom w:val="none" w:sz="0" w:space="0" w:color="auto"/>
                <w:right w:val="none" w:sz="0" w:space="0" w:color="auto"/>
              </w:divBdr>
            </w:div>
          </w:divsChild>
        </w:div>
        <w:div w:id="427502616">
          <w:marLeft w:val="0"/>
          <w:marRight w:val="0"/>
          <w:marTop w:val="0"/>
          <w:marBottom w:val="0"/>
          <w:divBdr>
            <w:top w:val="none" w:sz="0" w:space="0" w:color="auto"/>
            <w:left w:val="none" w:sz="0" w:space="0" w:color="auto"/>
            <w:bottom w:val="none" w:sz="0" w:space="0" w:color="auto"/>
            <w:right w:val="none" w:sz="0" w:space="0" w:color="auto"/>
          </w:divBdr>
          <w:divsChild>
            <w:div w:id="8536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4040">
      <w:bodyDiv w:val="1"/>
      <w:marLeft w:val="0"/>
      <w:marRight w:val="0"/>
      <w:marTop w:val="0"/>
      <w:marBottom w:val="0"/>
      <w:divBdr>
        <w:top w:val="none" w:sz="0" w:space="0" w:color="auto"/>
        <w:left w:val="none" w:sz="0" w:space="0" w:color="auto"/>
        <w:bottom w:val="none" w:sz="0" w:space="0" w:color="auto"/>
        <w:right w:val="none" w:sz="0" w:space="0" w:color="auto"/>
      </w:divBdr>
      <w:divsChild>
        <w:div w:id="1528180079">
          <w:marLeft w:val="547"/>
          <w:marRight w:val="0"/>
          <w:marTop w:val="86"/>
          <w:marBottom w:val="0"/>
          <w:divBdr>
            <w:top w:val="none" w:sz="0" w:space="0" w:color="auto"/>
            <w:left w:val="none" w:sz="0" w:space="0" w:color="auto"/>
            <w:bottom w:val="none" w:sz="0" w:space="0" w:color="auto"/>
            <w:right w:val="none" w:sz="0" w:space="0" w:color="auto"/>
          </w:divBdr>
        </w:div>
        <w:div w:id="1337924015">
          <w:marLeft w:val="547"/>
          <w:marRight w:val="0"/>
          <w:marTop w:val="86"/>
          <w:marBottom w:val="0"/>
          <w:divBdr>
            <w:top w:val="none" w:sz="0" w:space="0" w:color="auto"/>
            <w:left w:val="none" w:sz="0" w:space="0" w:color="auto"/>
            <w:bottom w:val="none" w:sz="0" w:space="0" w:color="auto"/>
            <w:right w:val="none" w:sz="0" w:space="0" w:color="auto"/>
          </w:divBdr>
        </w:div>
        <w:div w:id="321323681">
          <w:marLeft w:val="547"/>
          <w:marRight w:val="0"/>
          <w:marTop w:val="86"/>
          <w:marBottom w:val="0"/>
          <w:divBdr>
            <w:top w:val="none" w:sz="0" w:space="0" w:color="auto"/>
            <w:left w:val="none" w:sz="0" w:space="0" w:color="auto"/>
            <w:bottom w:val="none" w:sz="0" w:space="0" w:color="auto"/>
            <w:right w:val="none" w:sz="0" w:space="0" w:color="auto"/>
          </w:divBdr>
        </w:div>
      </w:divsChild>
    </w:div>
    <w:div w:id="1404452942">
      <w:bodyDiv w:val="1"/>
      <w:marLeft w:val="0"/>
      <w:marRight w:val="0"/>
      <w:marTop w:val="0"/>
      <w:marBottom w:val="0"/>
      <w:divBdr>
        <w:top w:val="none" w:sz="0" w:space="0" w:color="auto"/>
        <w:left w:val="none" w:sz="0" w:space="0" w:color="auto"/>
        <w:bottom w:val="none" w:sz="0" w:space="0" w:color="auto"/>
        <w:right w:val="none" w:sz="0" w:space="0" w:color="auto"/>
      </w:divBdr>
      <w:divsChild>
        <w:div w:id="954562786">
          <w:marLeft w:val="0"/>
          <w:marRight w:val="0"/>
          <w:marTop w:val="0"/>
          <w:marBottom w:val="0"/>
          <w:divBdr>
            <w:top w:val="none" w:sz="0" w:space="0" w:color="auto"/>
            <w:left w:val="none" w:sz="0" w:space="0" w:color="auto"/>
            <w:bottom w:val="none" w:sz="0" w:space="0" w:color="auto"/>
            <w:right w:val="none" w:sz="0" w:space="0" w:color="auto"/>
          </w:divBdr>
          <w:divsChild>
            <w:div w:id="747654657">
              <w:marLeft w:val="0"/>
              <w:marRight w:val="0"/>
              <w:marTop w:val="0"/>
              <w:marBottom w:val="0"/>
              <w:divBdr>
                <w:top w:val="none" w:sz="0" w:space="0" w:color="auto"/>
                <w:left w:val="none" w:sz="0" w:space="0" w:color="auto"/>
                <w:bottom w:val="none" w:sz="0" w:space="0" w:color="auto"/>
                <w:right w:val="none" w:sz="0" w:space="0" w:color="auto"/>
              </w:divBdr>
            </w:div>
            <w:div w:id="1460146361">
              <w:marLeft w:val="0"/>
              <w:marRight w:val="0"/>
              <w:marTop w:val="0"/>
              <w:marBottom w:val="0"/>
              <w:divBdr>
                <w:top w:val="none" w:sz="0" w:space="0" w:color="auto"/>
                <w:left w:val="none" w:sz="0" w:space="0" w:color="auto"/>
                <w:bottom w:val="none" w:sz="0" w:space="0" w:color="auto"/>
                <w:right w:val="none" w:sz="0" w:space="0" w:color="auto"/>
              </w:divBdr>
            </w:div>
            <w:div w:id="266428618">
              <w:marLeft w:val="0"/>
              <w:marRight w:val="0"/>
              <w:marTop w:val="0"/>
              <w:marBottom w:val="0"/>
              <w:divBdr>
                <w:top w:val="none" w:sz="0" w:space="0" w:color="auto"/>
                <w:left w:val="none" w:sz="0" w:space="0" w:color="auto"/>
                <w:bottom w:val="none" w:sz="0" w:space="0" w:color="auto"/>
                <w:right w:val="none" w:sz="0" w:space="0" w:color="auto"/>
              </w:divBdr>
            </w:div>
          </w:divsChild>
        </w:div>
        <w:div w:id="2128309995">
          <w:marLeft w:val="0"/>
          <w:marRight w:val="0"/>
          <w:marTop w:val="0"/>
          <w:marBottom w:val="0"/>
          <w:divBdr>
            <w:top w:val="none" w:sz="0" w:space="0" w:color="auto"/>
            <w:left w:val="none" w:sz="0" w:space="0" w:color="auto"/>
            <w:bottom w:val="none" w:sz="0" w:space="0" w:color="auto"/>
            <w:right w:val="none" w:sz="0" w:space="0" w:color="auto"/>
          </w:divBdr>
          <w:divsChild>
            <w:div w:id="919949264">
              <w:marLeft w:val="0"/>
              <w:marRight w:val="0"/>
              <w:marTop w:val="0"/>
              <w:marBottom w:val="0"/>
              <w:divBdr>
                <w:top w:val="none" w:sz="0" w:space="0" w:color="auto"/>
                <w:left w:val="none" w:sz="0" w:space="0" w:color="auto"/>
                <w:bottom w:val="none" w:sz="0" w:space="0" w:color="auto"/>
                <w:right w:val="none" w:sz="0" w:space="0" w:color="auto"/>
              </w:divBdr>
            </w:div>
            <w:div w:id="1678729803">
              <w:marLeft w:val="0"/>
              <w:marRight w:val="0"/>
              <w:marTop w:val="0"/>
              <w:marBottom w:val="0"/>
              <w:divBdr>
                <w:top w:val="none" w:sz="0" w:space="0" w:color="auto"/>
                <w:left w:val="none" w:sz="0" w:space="0" w:color="auto"/>
                <w:bottom w:val="none" w:sz="0" w:space="0" w:color="auto"/>
                <w:right w:val="none" w:sz="0" w:space="0" w:color="auto"/>
              </w:divBdr>
            </w:div>
            <w:div w:id="1214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4242">
      <w:bodyDiv w:val="1"/>
      <w:marLeft w:val="0"/>
      <w:marRight w:val="0"/>
      <w:marTop w:val="0"/>
      <w:marBottom w:val="0"/>
      <w:divBdr>
        <w:top w:val="none" w:sz="0" w:space="0" w:color="auto"/>
        <w:left w:val="none" w:sz="0" w:space="0" w:color="auto"/>
        <w:bottom w:val="none" w:sz="0" w:space="0" w:color="auto"/>
        <w:right w:val="none" w:sz="0" w:space="0" w:color="auto"/>
      </w:divBdr>
    </w:div>
    <w:div w:id="1893271705">
      <w:bodyDiv w:val="1"/>
      <w:marLeft w:val="0"/>
      <w:marRight w:val="0"/>
      <w:marTop w:val="0"/>
      <w:marBottom w:val="0"/>
      <w:divBdr>
        <w:top w:val="none" w:sz="0" w:space="0" w:color="auto"/>
        <w:left w:val="none" w:sz="0" w:space="0" w:color="auto"/>
        <w:bottom w:val="none" w:sz="0" w:space="0" w:color="auto"/>
        <w:right w:val="none" w:sz="0" w:space="0" w:color="auto"/>
      </w:divBdr>
    </w:div>
    <w:div w:id="200982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8" ma:contentTypeDescription="Create a new document." ma:contentTypeScope="" ma:versionID="439dfbacad9594f4f9bb80a3d965d425">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114e7ee1a659babea00b71ccd232ed46"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47DC9-8720-4009-B49C-339A7744AB02}">
  <ds:schemaRefs>
    <ds:schemaRef ds:uri="http://schemas.microsoft.com/office/2006/metadata/properties"/>
    <ds:schemaRef ds:uri="http://schemas.microsoft.com/office/infopath/2007/PartnerControls"/>
    <ds:schemaRef ds:uri="e5801d66-b0c0-4318-9cd1-d70425414eae"/>
    <ds:schemaRef ds:uri="78837e6a-0dc0-41f9-bc53-930862796b11"/>
  </ds:schemaRefs>
</ds:datastoreItem>
</file>

<file path=customXml/itemProps2.xml><?xml version="1.0" encoding="utf-8"?>
<ds:datastoreItem xmlns:ds="http://schemas.openxmlformats.org/officeDocument/2006/customXml" ds:itemID="{FE8DE401-9BC1-4E52-9217-3F7461B58848}">
  <ds:schemaRefs>
    <ds:schemaRef ds:uri="http://schemas.microsoft.com/sharepoint/v3/contenttype/forms"/>
  </ds:schemaRefs>
</ds:datastoreItem>
</file>

<file path=customXml/itemProps3.xml><?xml version="1.0" encoding="utf-8"?>
<ds:datastoreItem xmlns:ds="http://schemas.openxmlformats.org/officeDocument/2006/customXml" ds:itemID="{E6A51876-F78A-244E-AA26-180F08FADD46}">
  <ds:schemaRefs>
    <ds:schemaRef ds:uri="http://schemas.openxmlformats.org/officeDocument/2006/bibliography"/>
  </ds:schemaRefs>
</ds:datastoreItem>
</file>

<file path=customXml/itemProps4.xml><?xml version="1.0" encoding="utf-8"?>
<ds:datastoreItem xmlns:ds="http://schemas.openxmlformats.org/officeDocument/2006/customXml" ds:itemID="{F3322A07-483B-462B-9D65-63763995D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Ellender</dc:creator>
  <cp:keywords/>
  <dc:description/>
  <cp:lastModifiedBy>Cameron Skinner</cp:lastModifiedBy>
  <cp:revision>6</cp:revision>
  <dcterms:created xsi:type="dcterms:W3CDTF">2023-09-28T15:10:00Z</dcterms:created>
  <dcterms:modified xsi:type="dcterms:W3CDTF">2024-12-12T15:23:00Z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y fmtid="{D5CDD505-2E9C-101B-9397-08002B2CF9AE}" pid="3" name="MediaServiceImageTags">
    <vt:lpwstr/>
  </property>
</Properties>
</file>